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2D13" w14:textId="619E67FB" w:rsidR="009902A8" w:rsidRPr="003D2C45" w:rsidRDefault="009902A8" w:rsidP="009902A8">
      <w:pPr>
        <w:spacing w:after="0" w:line="240" w:lineRule="auto"/>
        <w:jc w:val="right"/>
        <w:rPr>
          <w:b/>
          <w:color w:val="0070C0"/>
        </w:rPr>
      </w:pPr>
      <w:r w:rsidRPr="003D2C45">
        <w:rPr>
          <w:b/>
          <w:color w:val="0070C0"/>
        </w:rPr>
        <w:t>RESEARCH SYMPOSIUM PRESENTER</w:t>
      </w:r>
    </w:p>
    <w:p w14:paraId="47E7DC4C" w14:textId="7F82A13A" w:rsidR="00CB29F6" w:rsidRPr="009902A8" w:rsidRDefault="00CB29F6" w:rsidP="009902A8">
      <w:pPr>
        <w:spacing w:after="0" w:line="240" w:lineRule="auto"/>
        <w:jc w:val="right"/>
        <w:rPr>
          <w:b/>
          <w:color w:val="0070C0"/>
        </w:rPr>
      </w:pPr>
      <w:r w:rsidRPr="009902A8">
        <w:rPr>
          <w:b/>
          <w:color w:val="0070C0"/>
        </w:rPr>
        <w:t>PRESENTATION TIME: 3:30 PM – 3:40 PM</w:t>
      </w:r>
    </w:p>
    <w:p w14:paraId="24BED46B" w14:textId="30179368" w:rsidR="00CB29F6" w:rsidRPr="009902A8" w:rsidRDefault="00CB29F6" w:rsidP="009902A8">
      <w:pPr>
        <w:spacing w:after="0" w:line="240" w:lineRule="auto"/>
        <w:jc w:val="right"/>
        <w:rPr>
          <w:b/>
          <w:color w:val="0070C0"/>
        </w:rPr>
      </w:pPr>
      <w:r w:rsidRPr="009902A8">
        <w:rPr>
          <w:b/>
          <w:color w:val="0070C0"/>
        </w:rPr>
        <w:t xml:space="preserve">PRESENTER: </w:t>
      </w:r>
      <w:proofErr w:type="spellStart"/>
      <w:r w:rsidRPr="009902A8">
        <w:rPr>
          <w:b/>
          <w:color w:val="0070C0"/>
        </w:rPr>
        <w:t>Jiun-Ruey</w:t>
      </w:r>
      <w:proofErr w:type="spellEnd"/>
      <w:r w:rsidRPr="009902A8">
        <w:rPr>
          <w:b/>
          <w:color w:val="0070C0"/>
        </w:rPr>
        <w:t xml:space="preserve"> Hu, MD, MPH</w:t>
      </w:r>
      <w:r w:rsidR="007360D2" w:rsidRPr="009902A8">
        <w:rPr>
          <w:b/>
          <w:color w:val="0070C0"/>
        </w:rPr>
        <w:t xml:space="preserve"> (PGY1)</w:t>
      </w:r>
    </w:p>
    <w:p w14:paraId="4570011A" w14:textId="77777777" w:rsidR="00CB29F6" w:rsidRDefault="00CB29F6" w:rsidP="00CB29F6">
      <w:pPr>
        <w:spacing w:after="0" w:line="240" w:lineRule="auto"/>
        <w:jc w:val="both"/>
        <w:rPr>
          <w:b/>
        </w:rPr>
      </w:pPr>
    </w:p>
    <w:p w14:paraId="3B020A2D" w14:textId="061DEF3F" w:rsidR="004250B5" w:rsidRPr="004250B5" w:rsidRDefault="004250B5" w:rsidP="00CB29F6">
      <w:pPr>
        <w:spacing w:after="0" w:line="240" w:lineRule="auto"/>
        <w:jc w:val="both"/>
        <w:rPr>
          <w:b/>
        </w:rPr>
      </w:pPr>
      <w:r w:rsidRPr="004250B5">
        <w:rPr>
          <w:b/>
        </w:rPr>
        <w:t>SERUM METABOLITES ARE ASSOCIATED WITH ALL-CAUSE MORTALITY IN CHRONIC KIDNEY DISEASE</w:t>
      </w:r>
    </w:p>
    <w:p w14:paraId="4B012AA6" w14:textId="77777777" w:rsidR="00CB29F6" w:rsidRDefault="00CB29F6" w:rsidP="00CB29F6">
      <w:pPr>
        <w:spacing w:after="0" w:line="240" w:lineRule="auto"/>
        <w:jc w:val="both"/>
        <w:rPr>
          <w:u w:val="single"/>
        </w:rPr>
      </w:pPr>
    </w:p>
    <w:p w14:paraId="480428E0" w14:textId="7467BE6C" w:rsidR="00403023" w:rsidRPr="00403023" w:rsidRDefault="00403023" w:rsidP="00CB29F6">
      <w:pPr>
        <w:spacing w:after="0" w:line="240" w:lineRule="auto"/>
        <w:jc w:val="both"/>
      </w:pPr>
      <w:proofErr w:type="spellStart"/>
      <w:r w:rsidRPr="007C2CF7">
        <w:rPr>
          <w:u w:val="single"/>
        </w:rPr>
        <w:t>Jiun-Ruey</w:t>
      </w:r>
      <w:proofErr w:type="spellEnd"/>
      <w:r w:rsidRPr="007C2CF7">
        <w:rPr>
          <w:u w:val="single"/>
        </w:rPr>
        <w:t xml:space="preserve"> Hu</w:t>
      </w:r>
      <w:r w:rsidR="00CF5A0F" w:rsidRPr="007C2CF7">
        <w:rPr>
          <w:u w:val="single"/>
        </w:rPr>
        <w:t>, MD MPH</w:t>
      </w:r>
      <w:r w:rsidRPr="00056A4B">
        <w:rPr>
          <w:vertAlign w:val="superscript"/>
        </w:rPr>
        <w:t>1</w:t>
      </w:r>
      <w:r w:rsidRPr="002C493E">
        <w:rPr>
          <w:vertAlign w:val="superscript"/>
        </w:rPr>
        <w:t>,2,3</w:t>
      </w:r>
      <w:r w:rsidRPr="00403023">
        <w:t>, Josef Coresh, MD PhD</w:t>
      </w:r>
      <w:r w:rsidR="002C493E" w:rsidRPr="002C493E">
        <w:rPr>
          <w:vertAlign w:val="superscript"/>
        </w:rPr>
        <w:t>1,2</w:t>
      </w:r>
      <w:r w:rsidRPr="00403023">
        <w:t>, Lesley A. Inker, MD MS</w:t>
      </w:r>
      <w:r w:rsidR="00C1767F" w:rsidRPr="00C1767F">
        <w:rPr>
          <w:vertAlign w:val="superscript"/>
        </w:rPr>
        <w:t>4</w:t>
      </w:r>
      <w:r w:rsidRPr="00403023">
        <w:t>, Andrew S. Levey, MD</w:t>
      </w:r>
      <w:r w:rsidR="003E2DDA" w:rsidRPr="003E2DDA">
        <w:rPr>
          <w:vertAlign w:val="superscript"/>
        </w:rPr>
        <w:t>4</w:t>
      </w:r>
      <w:r w:rsidRPr="00403023">
        <w:t xml:space="preserve">, </w:t>
      </w:r>
      <w:proofErr w:type="spellStart"/>
      <w:r w:rsidRPr="00403023">
        <w:t>Zihe</w:t>
      </w:r>
      <w:proofErr w:type="spellEnd"/>
      <w:r w:rsidRPr="00403023">
        <w:t xml:space="preserve"> </w:t>
      </w:r>
      <w:bookmarkStart w:id="0" w:name="_GoBack"/>
      <w:r w:rsidRPr="00403023">
        <w:t>Zheng, MHS</w:t>
      </w:r>
      <w:r w:rsidR="003E2DDA" w:rsidRPr="003E2DDA">
        <w:rPr>
          <w:vertAlign w:val="superscript"/>
        </w:rPr>
        <w:t>1,2</w:t>
      </w:r>
      <w:r w:rsidRPr="00403023">
        <w:t xml:space="preserve">, Casey M. </w:t>
      </w:r>
      <w:proofErr w:type="spellStart"/>
      <w:r w:rsidRPr="00403023">
        <w:t>Rebholz</w:t>
      </w:r>
      <w:proofErr w:type="spellEnd"/>
      <w:r w:rsidRPr="00403023">
        <w:t>, PhD MPH MS</w:t>
      </w:r>
      <w:r w:rsidR="00EE7B80" w:rsidRPr="00EE7B80">
        <w:rPr>
          <w:vertAlign w:val="superscript"/>
        </w:rPr>
        <w:t>1,2</w:t>
      </w:r>
      <w:r w:rsidRPr="00403023">
        <w:t>, Adrienne Tin, PhD</w:t>
      </w:r>
      <w:r w:rsidR="00EE7B80" w:rsidRPr="00EE7B80">
        <w:rPr>
          <w:vertAlign w:val="superscript"/>
        </w:rPr>
        <w:t>1,2</w:t>
      </w:r>
      <w:r w:rsidRPr="00403023">
        <w:t>, Lawrence J. Appel, MD MPH</w:t>
      </w:r>
      <w:r w:rsidR="00EE7B80" w:rsidRPr="00EE7B80">
        <w:rPr>
          <w:vertAlign w:val="superscript"/>
        </w:rPr>
        <w:t>1,2</w:t>
      </w:r>
      <w:r w:rsidRPr="00403023">
        <w:t xml:space="preserve">, </w:t>
      </w:r>
      <w:bookmarkEnd w:id="0"/>
      <w:proofErr w:type="spellStart"/>
      <w:r w:rsidRPr="00403023">
        <w:t>Jingsha</w:t>
      </w:r>
      <w:proofErr w:type="spellEnd"/>
      <w:r w:rsidRPr="00403023">
        <w:t xml:space="preserve"> Chen, MS</w:t>
      </w:r>
      <w:r w:rsidR="00620C4D" w:rsidRPr="00620C4D">
        <w:rPr>
          <w:vertAlign w:val="superscript"/>
        </w:rPr>
        <w:t>1,2</w:t>
      </w:r>
      <w:r w:rsidRPr="00403023">
        <w:t xml:space="preserve">, Mark J. </w:t>
      </w:r>
      <w:proofErr w:type="spellStart"/>
      <w:r w:rsidRPr="00403023">
        <w:t>Sarnak</w:t>
      </w:r>
      <w:proofErr w:type="spellEnd"/>
      <w:r w:rsidRPr="00403023">
        <w:t>, MD MS</w:t>
      </w:r>
      <w:r w:rsidR="00B5217A" w:rsidRPr="00B5217A">
        <w:rPr>
          <w:vertAlign w:val="superscript"/>
        </w:rPr>
        <w:t>4</w:t>
      </w:r>
      <w:r w:rsidRPr="00403023">
        <w:t>, Morgan E. Grams, MD PhD</w:t>
      </w:r>
      <w:r w:rsidR="00595808" w:rsidRPr="00595808">
        <w:rPr>
          <w:vertAlign w:val="superscript"/>
        </w:rPr>
        <w:t>1,2,5</w:t>
      </w:r>
    </w:p>
    <w:p w14:paraId="4237FC0D" w14:textId="77777777" w:rsidR="00CB29F6" w:rsidRDefault="00CB29F6" w:rsidP="00CB29F6">
      <w:pPr>
        <w:spacing w:after="0" w:line="240" w:lineRule="auto"/>
        <w:jc w:val="both"/>
      </w:pPr>
    </w:p>
    <w:p w14:paraId="62A0E427" w14:textId="0CB977DC" w:rsidR="00403023" w:rsidRPr="00403023" w:rsidRDefault="00403023" w:rsidP="00CB29F6">
      <w:pPr>
        <w:spacing w:after="0" w:line="240" w:lineRule="auto"/>
        <w:jc w:val="both"/>
      </w:pPr>
      <w:r w:rsidRPr="00403023">
        <w:t>Author Affiliations:</w:t>
      </w:r>
    </w:p>
    <w:p w14:paraId="0617456F" w14:textId="673AD18A" w:rsidR="00403023" w:rsidRDefault="00403023" w:rsidP="00CB29F6">
      <w:pPr>
        <w:pStyle w:val="ListParagraph"/>
        <w:numPr>
          <w:ilvl w:val="0"/>
          <w:numId w:val="1"/>
        </w:numPr>
        <w:spacing w:after="0" w:line="240" w:lineRule="auto"/>
        <w:jc w:val="both"/>
      </w:pPr>
      <w:r w:rsidRPr="00403023">
        <w:t>Department of Epidemiology, Johns Hopkins Bloomberg School of Public Health, Baltimore MD</w:t>
      </w:r>
      <w:r w:rsidR="00BF1D06">
        <w:t xml:space="preserve">, </w:t>
      </w:r>
      <w:r w:rsidR="00171ACB">
        <w:t>21205</w:t>
      </w:r>
    </w:p>
    <w:p w14:paraId="20F40B85" w14:textId="28752F04" w:rsidR="00403023" w:rsidRDefault="00403023" w:rsidP="00CB29F6">
      <w:pPr>
        <w:pStyle w:val="ListParagraph"/>
        <w:numPr>
          <w:ilvl w:val="0"/>
          <w:numId w:val="1"/>
        </w:numPr>
        <w:spacing w:after="0" w:line="240" w:lineRule="auto"/>
        <w:jc w:val="both"/>
      </w:pPr>
      <w:r w:rsidRPr="00403023">
        <w:t>Welch Center for Prevention, Epidemiology, and Clinical Research, Johns Hopkins University, Baltimore MD</w:t>
      </w:r>
      <w:r w:rsidR="00171ACB">
        <w:t>, 21205</w:t>
      </w:r>
    </w:p>
    <w:p w14:paraId="3AD42EE3" w14:textId="7D42BC87" w:rsidR="00403023" w:rsidRDefault="00403023" w:rsidP="00CB29F6">
      <w:pPr>
        <w:pStyle w:val="ListParagraph"/>
        <w:numPr>
          <w:ilvl w:val="0"/>
          <w:numId w:val="1"/>
        </w:numPr>
        <w:spacing w:after="0" w:line="240" w:lineRule="auto"/>
        <w:jc w:val="both"/>
      </w:pPr>
      <w:r>
        <w:t>Department of Medicine, Vanderbilt University Medical Center, Nashville, TN</w:t>
      </w:r>
      <w:r w:rsidR="00171ACB">
        <w:t>, 37212</w:t>
      </w:r>
    </w:p>
    <w:p w14:paraId="7BFC5619" w14:textId="246A8B47" w:rsidR="00403023" w:rsidRDefault="00403023" w:rsidP="00CB29F6">
      <w:pPr>
        <w:pStyle w:val="ListParagraph"/>
        <w:numPr>
          <w:ilvl w:val="0"/>
          <w:numId w:val="1"/>
        </w:numPr>
        <w:spacing w:after="0" w:line="240" w:lineRule="auto"/>
        <w:jc w:val="both"/>
      </w:pPr>
      <w:r w:rsidRPr="00403023">
        <w:t>Division of Nephrology, Tufts Medical Center, Boston, MA</w:t>
      </w:r>
      <w:r w:rsidR="00171ACB">
        <w:t>, 02111</w:t>
      </w:r>
    </w:p>
    <w:p w14:paraId="601F089B" w14:textId="513BE15C" w:rsidR="00BE461E" w:rsidRDefault="00403023" w:rsidP="00CB29F6">
      <w:pPr>
        <w:pStyle w:val="ListParagraph"/>
        <w:numPr>
          <w:ilvl w:val="0"/>
          <w:numId w:val="1"/>
        </w:numPr>
        <w:spacing w:after="0" w:line="240" w:lineRule="auto"/>
        <w:jc w:val="both"/>
      </w:pPr>
      <w:r w:rsidRPr="00403023">
        <w:t>Division of Nephrology, Department of Medicine, Johns Hopkins University, Baltimore MD</w:t>
      </w:r>
      <w:r w:rsidR="00171ACB">
        <w:t>, 21205</w:t>
      </w:r>
    </w:p>
    <w:p w14:paraId="2532816E" w14:textId="77777777" w:rsidR="00CB29F6" w:rsidRDefault="00CB29F6" w:rsidP="00CB29F6">
      <w:pPr>
        <w:spacing w:after="0" w:line="240" w:lineRule="auto"/>
        <w:jc w:val="both"/>
        <w:rPr>
          <w:b/>
        </w:rPr>
      </w:pPr>
    </w:p>
    <w:p w14:paraId="2F6A6170" w14:textId="06CDEE10" w:rsidR="00BE461E" w:rsidRDefault="00BE461E" w:rsidP="00CB29F6">
      <w:pPr>
        <w:spacing w:after="0" w:line="240" w:lineRule="auto"/>
        <w:jc w:val="both"/>
      </w:pPr>
      <w:r w:rsidRPr="001B2386">
        <w:rPr>
          <w:b/>
        </w:rPr>
        <w:t>BACKGROUND:</w:t>
      </w:r>
      <w:r>
        <w:t xml:space="preserve"> </w:t>
      </w:r>
      <w:r w:rsidR="00830685" w:rsidRPr="00830685">
        <w:t>Chronic kidney disease (CKD) has a high mortality rate and significant metabolic abnormalities. The levels of serum metabolites in CKD patients might provide insight into subclinical disease states and risk for future mortality. The aim of this study was to determine which serum metabolites</w:t>
      </w:r>
      <w:r w:rsidR="0006204D">
        <w:t>, beyond known markers such as creatinine,</w:t>
      </w:r>
      <w:r w:rsidR="00830685" w:rsidRPr="00830685">
        <w:t xml:space="preserve"> reproducibly associate with </w:t>
      </w:r>
      <w:r w:rsidR="00830685">
        <w:t xml:space="preserve">long-term all-cause </w:t>
      </w:r>
      <w:r w:rsidR="00830685" w:rsidRPr="00830685">
        <w:t>mortality in CKD</w:t>
      </w:r>
      <w:r w:rsidR="007E05C1">
        <w:t xml:space="preserve"> </w:t>
      </w:r>
      <w:r w:rsidR="00830685" w:rsidRPr="00830685">
        <w:t xml:space="preserve">using a </w:t>
      </w:r>
      <w:r w:rsidR="00960BD7">
        <w:t xml:space="preserve">rigorous </w:t>
      </w:r>
      <w:r w:rsidR="00830685" w:rsidRPr="00830685">
        <w:t>discovery and replication design.</w:t>
      </w:r>
    </w:p>
    <w:p w14:paraId="07A42A35" w14:textId="77777777" w:rsidR="00CB29F6" w:rsidRDefault="00CB29F6" w:rsidP="00CB29F6">
      <w:pPr>
        <w:spacing w:after="0" w:line="240" w:lineRule="auto"/>
        <w:jc w:val="both"/>
        <w:rPr>
          <w:b/>
        </w:rPr>
      </w:pPr>
    </w:p>
    <w:p w14:paraId="7C9E6086" w14:textId="1D9C137B" w:rsidR="00BE461E" w:rsidRDefault="00BE461E" w:rsidP="00CB29F6">
      <w:pPr>
        <w:spacing w:after="0" w:line="240" w:lineRule="auto"/>
        <w:jc w:val="both"/>
      </w:pPr>
      <w:r w:rsidRPr="001B2386">
        <w:rPr>
          <w:b/>
        </w:rPr>
        <w:t>METHODS:</w:t>
      </w:r>
      <w:r w:rsidR="000446EB">
        <w:t xml:space="preserve"> </w:t>
      </w:r>
      <w:r w:rsidR="00830685" w:rsidRPr="00830685">
        <w:t>We quantified metabolite levels via untargeted liquid chromatography and mass spectroscopy from serum samples of 299 subjects with CKD in the</w:t>
      </w:r>
      <w:r w:rsidR="00D8490F">
        <w:t xml:space="preserve"> multi-center</w:t>
      </w:r>
      <w:r w:rsidR="00830685" w:rsidRPr="00830685">
        <w:t xml:space="preserve"> Modification of Diet in Renal Disease (</w:t>
      </w:r>
      <w:proofErr w:type="spellStart"/>
      <w:r w:rsidR="00830685" w:rsidRPr="00830685">
        <w:t>MDRD</w:t>
      </w:r>
      <w:proofErr w:type="spellEnd"/>
      <w:r w:rsidR="00830685" w:rsidRPr="00830685">
        <w:t xml:space="preserve">) </w:t>
      </w:r>
      <w:r w:rsidR="00DB6EFF">
        <w:t>trial</w:t>
      </w:r>
      <w:r w:rsidR="00830685" w:rsidRPr="00830685">
        <w:t xml:space="preserve"> as a discovery cohort. We then replicated associations with mortality in 963 subjects with CKD from the </w:t>
      </w:r>
      <w:r w:rsidR="00D8490F">
        <w:t xml:space="preserve">multi-center </w:t>
      </w:r>
      <w:r w:rsidR="00830685" w:rsidRPr="00830685">
        <w:t>African American Study of Kidney Disease and Hypertension (</w:t>
      </w:r>
      <w:proofErr w:type="spellStart"/>
      <w:r w:rsidR="00830685" w:rsidRPr="00830685">
        <w:t>AASK</w:t>
      </w:r>
      <w:proofErr w:type="spellEnd"/>
      <w:r w:rsidR="00830685" w:rsidRPr="00830685">
        <w:t>).</w:t>
      </w:r>
      <w:r w:rsidR="0091503C">
        <w:t xml:space="preserve"> All regressions were carried out with adjustment for </w:t>
      </w:r>
      <w:r w:rsidR="00D65683">
        <w:t>iothalamate-</w:t>
      </w:r>
      <w:r w:rsidR="0091503C" w:rsidRPr="00830685">
        <w:t>measured glomerular filtration rate</w:t>
      </w:r>
      <w:r w:rsidR="00187998">
        <w:t xml:space="preserve"> and strict correction for multiple comparisons.</w:t>
      </w:r>
    </w:p>
    <w:p w14:paraId="0A466CDA" w14:textId="77777777" w:rsidR="00CB29F6" w:rsidRDefault="00CB29F6" w:rsidP="00CB29F6">
      <w:pPr>
        <w:spacing w:after="0" w:line="240" w:lineRule="auto"/>
        <w:jc w:val="both"/>
        <w:rPr>
          <w:b/>
        </w:rPr>
      </w:pPr>
    </w:p>
    <w:p w14:paraId="441F56F4" w14:textId="3FF3E289" w:rsidR="00BE461E" w:rsidRDefault="00BE461E" w:rsidP="00CB29F6">
      <w:pPr>
        <w:spacing w:after="0" w:line="240" w:lineRule="auto"/>
        <w:jc w:val="both"/>
      </w:pPr>
      <w:r w:rsidRPr="001B2386">
        <w:rPr>
          <w:b/>
        </w:rPr>
        <w:t>RESULTS:</w:t>
      </w:r>
      <w:r w:rsidR="000446EB">
        <w:t xml:space="preserve"> </w:t>
      </w:r>
      <w:r w:rsidR="00830685" w:rsidRPr="00830685">
        <w:t xml:space="preserve">Six </w:t>
      </w:r>
      <w:r w:rsidR="0061270C">
        <w:t xml:space="preserve">serum </w:t>
      </w:r>
      <w:r w:rsidR="00830685" w:rsidRPr="00830685">
        <w:t xml:space="preserve">metabolites among 622 were significantly associated with mortality over a median follow-up of 17 years after adjustment for demographic and clinical covariates (p &lt; 0.001). Three of the six metabolites identified in </w:t>
      </w:r>
      <w:proofErr w:type="spellStart"/>
      <w:r w:rsidR="00830685" w:rsidRPr="00830685">
        <w:t>MDRD</w:t>
      </w:r>
      <w:proofErr w:type="spellEnd"/>
      <w:r w:rsidR="00830685" w:rsidRPr="00830685">
        <w:t xml:space="preserve"> replicated in </w:t>
      </w:r>
      <w:proofErr w:type="spellStart"/>
      <w:r w:rsidR="00830685" w:rsidRPr="00830685">
        <w:t>AASK</w:t>
      </w:r>
      <w:proofErr w:type="spellEnd"/>
      <w:r w:rsidR="005D031A">
        <w:t xml:space="preserve"> </w:t>
      </w:r>
      <w:r w:rsidR="005D031A" w:rsidRPr="00830685">
        <w:t>over a median follow-up of 10 years</w:t>
      </w:r>
      <w:r w:rsidR="00830685" w:rsidRPr="00830685">
        <w:t xml:space="preserve">: fumarate, allantoin, and </w:t>
      </w:r>
      <w:proofErr w:type="spellStart"/>
      <w:r w:rsidR="00830685" w:rsidRPr="00830685">
        <w:t>ribonate</w:t>
      </w:r>
      <w:proofErr w:type="spellEnd"/>
      <w:r w:rsidR="00830685" w:rsidRPr="00830685">
        <w:t xml:space="preserve">, </w:t>
      </w:r>
      <w:r w:rsidR="00830685" w:rsidRPr="00830685" w:rsidDel="00DA7024">
        <w:t>belong</w:t>
      </w:r>
      <w:r w:rsidR="00830685" w:rsidRPr="00830685">
        <w:t>ing</w:t>
      </w:r>
      <w:r w:rsidR="00830685" w:rsidRPr="00830685" w:rsidDel="00DA7024">
        <w:t xml:space="preserve"> to the energy, nucleotide, and carbohydrate pathways, respectively. </w:t>
      </w:r>
      <w:r w:rsidR="00830685" w:rsidRPr="00830685">
        <w:t>Point estimates were similar in both studies and in meta-analysis (adjusted hazard ratios 1.63, 1.59, and 1.61, respectively, per doubling of the metabolite; all p values &lt; 8.0E-05).</w:t>
      </w:r>
    </w:p>
    <w:p w14:paraId="59A249E5" w14:textId="77777777" w:rsidR="00CB29F6" w:rsidRDefault="00CB29F6" w:rsidP="00CB29F6">
      <w:pPr>
        <w:spacing w:after="0" w:line="240" w:lineRule="auto"/>
        <w:jc w:val="both"/>
        <w:rPr>
          <w:b/>
        </w:rPr>
      </w:pPr>
    </w:p>
    <w:p w14:paraId="1974790B" w14:textId="4ACA9AD2" w:rsidR="00BE461E" w:rsidRDefault="00BE461E" w:rsidP="00CB29F6">
      <w:pPr>
        <w:spacing w:after="0" w:line="240" w:lineRule="auto"/>
        <w:jc w:val="both"/>
      </w:pPr>
      <w:r w:rsidRPr="001B2386">
        <w:rPr>
          <w:b/>
        </w:rPr>
        <w:t>CONCLUSIONS:</w:t>
      </w:r>
      <w:r w:rsidR="000446EB">
        <w:t xml:space="preserve"> </w:t>
      </w:r>
      <w:r w:rsidR="00A64D2E" w:rsidRPr="00830685">
        <w:t xml:space="preserve">In conclusion, </w:t>
      </w:r>
      <w:r w:rsidR="003E64A0">
        <w:t xml:space="preserve">fumarate, allantoin, and </w:t>
      </w:r>
      <w:proofErr w:type="spellStart"/>
      <w:r w:rsidR="003E64A0">
        <w:t>ribonate</w:t>
      </w:r>
      <w:proofErr w:type="spellEnd"/>
      <w:r w:rsidR="00A64D2E" w:rsidRPr="00830685">
        <w:t xml:space="preserve"> were reproducibly associated with long-term</w:t>
      </w:r>
      <w:r w:rsidR="00EA7409">
        <w:t xml:space="preserve"> all-cause</w:t>
      </w:r>
      <w:r w:rsidR="00A64D2E" w:rsidRPr="00830685">
        <w:t xml:space="preserve"> mortality in CKD beyond markers of kidney function in two well characterized cohorts, providing targets for </w:t>
      </w:r>
      <w:r w:rsidR="003E64A0">
        <w:t xml:space="preserve">molecular </w:t>
      </w:r>
      <w:r w:rsidR="00A64D2E" w:rsidRPr="00830685">
        <w:t xml:space="preserve">investigation. </w:t>
      </w:r>
    </w:p>
    <w:p w14:paraId="2755415E" w14:textId="77777777" w:rsidR="00CB29F6" w:rsidRDefault="00CB29F6" w:rsidP="00CB29F6">
      <w:pPr>
        <w:spacing w:after="0" w:line="240" w:lineRule="auto"/>
        <w:jc w:val="both"/>
        <w:rPr>
          <w:b/>
        </w:rPr>
      </w:pPr>
    </w:p>
    <w:p w14:paraId="50703F59" w14:textId="41F9CDB4" w:rsidR="00BE461E" w:rsidRDefault="00BE461E" w:rsidP="00CB29F6">
      <w:pPr>
        <w:spacing w:after="0" w:line="240" w:lineRule="auto"/>
        <w:jc w:val="both"/>
      </w:pPr>
      <w:r w:rsidRPr="001B2386">
        <w:rPr>
          <w:b/>
        </w:rPr>
        <w:t>CONTENT CATEGORY:</w:t>
      </w:r>
      <w:r w:rsidR="000446EB">
        <w:t xml:space="preserve"> </w:t>
      </w:r>
      <w:r w:rsidR="00403023">
        <w:t xml:space="preserve">EPIDEMIOLOGY </w:t>
      </w:r>
    </w:p>
    <w:p w14:paraId="7A694B5C" w14:textId="77777777" w:rsidR="00CB29F6" w:rsidRDefault="00CB29F6" w:rsidP="00CB29F6">
      <w:pPr>
        <w:spacing w:after="0" w:line="240" w:lineRule="auto"/>
        <w:jc w:val="both"/>
      </w:pPr>
    </w:p>
    <w:p w14:paraId="615CEFA2" w14:textId="78CD6359" w:rsidR="00C506B4" w:rsidRPr="00FD2682" w:rsidRDefault="00BE461E" w:rsidP="00CB29F6">
      <w:pPr>
        <w:spacing w:after="0" w:line="240" w:lineRule="auto"/>
        <w:jc w:val="both"/>
        <w:rPr>
          <w:i/>
        </w:rPr>
      </w:pPr>
      <w:r w:rsidRPr="00CB29F6">
        <w:rPr>
          <w:b/>
        </w:rPr>
        <w:t>KEYWORDS:</w:t>
      </w:r>
      <w:r>
        <w:t xml:space="preserve"> </w:t>
      </w:r>
      <w:r w:rsidR="00763972" w:rsidRPr="00763972">
        <w:rPr>
          <w:i/>
        </w:rPr>
        <w:t>chronic kidney disease, metabolomics, mortality, uremic toxins</w:t>
      </w:r>
    </w:p>
    <w:sectPr w:rsidR="00C506B4" w:rsidRPr="00FD2682" w:rsidSect="00CB2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04E58"/>
    <w:multiLevelType w:val="hybridMultilevel"/>
    <w:tmpl w:val="41C2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216FD"/>
    <w:rsid w:val="000446EB"/>
    <w:rsid w:val="00046A7D"/>
    <w:rsid w:val="00056A4B"/>
    <w:rsid w:val="0006204D"/>
    <w:rsid w:val="00067DF3"/>
    <w:rsid w:val="0011596D"/>
    <w:rsid w:val="0013132E"/>
    <w:rsid w:val="00132095"/>
    <w:rsid w:val="00171ACB"/>
    <w:rsid w:val="00187998"/>
    <w:rsid w:val="001B2386"/>
    <w:rsid w:val="001B726C"/>
    <w:rsid w:val="0020115F"/>
    <w:rsid w:val="00225738"/>
    <w:rsid w:val="002C493E"/>
    <w:rsid w:val="003D2C45"/>
    <w:rsid w:val="003E2DDA"/>
    <w:rsid w:val="003E64A0"/>
    <w:rsid w:val="003F48D4"/>
    <w:rsid w:val="00403023"/>
    <w:rsid w:val="004250B5"/>
    <w:rsid w:val="004A3E01"/>
    <w:rsid w:val="004C5247"/>
    <w:rsid w:val="00535703"/>
    <w:rsid w:val="00540E09"/>
    <w:rsid w:val="00551AA9"/>
    <w:rsid w:val="00583919"/>
    <w:rsid w:val="00595808"/>
    <w:rsid w:val="005D031A"/>
    <w:rsid w:val="005E0967"/>
    <w:rsid w:val="0061270C"/>
    <w:rsid w:val="00620C4D"/>
    <w:rsid w:val="00647F3E"/>
    <w:rsid w:val="00721484"/>
    <w:rsid w:val="007360D2"/>
    <w:rsid w:val="00763972"/>
    <w:rsid w:val="00783B87"/>
    <w:rsid w:val="007978AC"/>
    <w:rsid w:val="007C2CF7"/>
    <w:rsid w:val="007E05C1"/>
    <w:rsid w:val="007E5B37"/>
    <w:rsid w:val="00830685"/>
    <w:rsid w:val="008931C1"/>
    <w:rsid w:val="0091503C"/>
    <w:rsid w:val="00960BD7"/>
    <w:rsid w:val="009902A8"/>
    <w:rsid w:val="00A64D2E"/>
    <w:rsid w:val="00A92D8F"/>
    <w:rsid w:val="00AA5413"/>
    <w:rsid w:val="00AD5274"/>
    <w:rsid w:val="00B5217A"/>
    <w:rsid w:val="00BE461E"/>
    <w:rsid w:val="00BF1D06"/>
    <w:rsid w:val="00C028B6"/>
    <w:rsid w:val="00C1767F"/>
    <w:rsid w:val="00C506B4"/>
    <w:rsid w:val="00C77EAF"/>
    <w:rsid w:val="00CB29F6"/>
    <w:rsid w:val="00CF5A0F"/>
    <w:rsid w:val="00D65683"/>
    <w:rsid w:val="00D8490F"/>
    <w:rsid w:val="00DB6EFF"/>
    <w:rsid w:val="00E039A0"/>
    <w:rsid w:val="00E66447"/>
    <w:rsid w:val="00E82BE2"/>
    <w:rsid w:val="00EA7409"/>
    <w:rsid w:val="00EE7B80"/>
    <w:rsid w:val="00F434B0"/>
    <w:rsid w:val="00FB084B"/>
    <w:rsid w:val="00FD26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ListParagraph">
    <w:name w:val="List Paragraph"/>
    <w:basedOn w:val="Normal"/>
    <w:uiPriority w:val="34"/>
    <w:qFormat/>
    <w:rsid w:val="00403023"/>
    <w:pPr>
      <w:ind w:left="720"/>
      <w:contextualSpacing/>
    </w:pPr>
  </w:style>
  <w:style w:type="character" w:styleId="Hyperlink">
    <w:name w:val="Hyperlink"/>
    <w:basedOn w:val="DefaultParagraphFont"/>
    <w:uiPriority w:val="99"/>
    <w:unhideWhenUsed/>
    <w:rsid w:val="007E5B37"/>
    <w:rPr>
      <w:color w:val="0000FF" w:themeColor="hyperlink"/>
      <w:u w:val="single"/>
    </w:rPr>
  </w:style>
  <w:style w:type="character" w:styleId="UnresolvedMention">
    <w:name w:val="Unresolved Mention"/>
    <w:basedOn w:val="DefaultParagraphFont"/>
    <w:uiPriority w:val="99"/>
    <w:semiHidden/>
    <w:unhideWhenUsed/>
    <w:rsid w:val="007E5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5480">
      <w:bodyDiv w:val="1"/>
      <w:marLeft w:val="0"/>
      <w:marRight w:val="0"/>
      <w:marTop w:val="0"/>
      <w:marBottom w:val="0"/>
      <w:divBdr>
        <w:top w:val="none" w:sz="0" w:space="0" w:color="auto"/>
        <w:left w:val="none" w:sz="0" w:space="0" w:color="auto"/>
        <w:bottom w:val="none" w:sz="0" w:space="0" w:color="auto"/>
        <w:right w:val="none" w:sz="0" w:space="0" w:color="auto"/>
      </w:divBdr>
    </w:div>
    <w:div w:id="10865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35FF-D5E7-4BC3-95A7-21CBCD53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82</cp:revision>
  <dcterms:created xsi:type="dcterms:W3CDTF">2018-05-17T20:43:00Z</dcterms:created>
  <dcterms:modified xsi:type="dcterms:W3CDTF">2018-10-25T15:29:00Z</dcterms:modified>
</cp:coreProperties>
</file>