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919D" w14:textId="5D87BB86" w:rsidR="00D44F9F" w:rsidRPr="00D44F9F" w:rsidRDefault="00D44F9F" w:rsidP="00D44F9F">
      <w:pPr>
        <w:spacing w:after="0" w:line="240" w:lineRule="auto"/>
        <w:jc w:val="right"/>
        <w:rPr>
          <w:b/>
          <w:color w:val="0070C0"/>
        </w:rPr>
      </w:pPr>
      <w:r w:rsidRPr="00D44F9F">
        <w:rPr>
          <w:b/>
          <w:color w:val="0070C0"/>
        </w:rPr>
        <w:t>RESEARCH SYMPOSIUM PRESENTER</w:t>
      </w:r>
    </w:p>
    <w:p w14:paraId="5B4B609A" w14:textId="6CA9DCE8" w:rsidR="00E23F66" w:rsidRPr="00D44F9F" w:rsidRDefault="00E23F66" w:rsidP="00D44F9F">
      <w:pPr>
        <w:spacing w:after="0" w:line="240" w:lineRule="auto"/>
        <w:jc w:val="right"/>
        <w:rPr>
          <w:b/>
          <w:color w:val="0070C0"/>
        </w:rPr>
      </w:pPr>
      <w:r w:rsidRPr="00D44F9F">
        <w:rPr>
          <w:b/>
          <w:color w:val="0070C0"/>
        </w:rPr>
        <w:t>PRESENTATION TIME: 3:45 PM – 3:55 PM</w:t>
      </w:r>
    </w:p>
    <w:p w14:paraId="75C5E11D" w14:textId="3764BF6F" w:rsidR="00E23F66" w:rsidRPr="00D44F9F" w:rsidRDefault="00E23F66" w:rsidP="00D44F9F">
      <w:pPr>
        <w:spacing w:after="0" w:line="240" w:lineRule="auto"/>
        <w:jc w:val="right"/>
        <w:rPr>
          <w:b/>
          <w:color w:val="0070C0"/>
        </w:rPr>
      </w:pPr>
      <w:r w:rsidRPr="00D44F9F">
        <w:rPr>
          <w:b/>
          <w:color w:val="0070C0"/>
        </w:rPr>
        <w:t>PRESENTER: Jennifer Huang (MS2)</w:t>
      </w:r>
    </w:p>
    <w:p w14:paraId="00F0A656" w14:textId="77777777" w:rsidR="00E23F66" w:rsidRDefault="00E23F66" w:rsidP="00E23F66">
      <w:pPr>
        <w:spacing w:after="0" w:line="240" w:lineRule="auto"/>
        <w:jc w:val="both"/>
        <w:rPr>
          <w:b/>
        </w:rPr>
      </w:pPr>
    </w:p>
    <w:p w14:paraId="7E99C10F" w14:textId="4627D3AE" w:rsidR="009708F1" w:rsidRDefault="009708F1" w:rsidP="00E23F66">
      <w:pPr>
        <w:spacing w:after="0" w:line="240" w:lineRule="auto"/>
        <w:jc w:val="both"/>
        <w:rPr>
          <w:b/>
        </w:rPr>
      </w:pPr>
      <w:r w:rsidRPr="00815B48">
        <w:rPr>
          <w:b/>
        </w:rPr>
        <w:t xml:space="preserve">BUTYRATE-PRODUCING </w:t>
      </w:r>
      <w:r>
        <w:rPr>
          <w:b/>
        </w:rPr>
        <w:t xml:space="preserve">GUT </w:t>
      </w:r>
      <w:r w:rsidRPr="00815B48">
        <w:rPr>
          <w:b/>
        </w:rPr>
        <w:t xml:space="preserve">BACTERIA </w:t>
      </w:r>
      <w:r>
        <w:rPr>
          <w:b/>
        </w:rPr>
        <w:t xml:space="preserve">AND VIRAL INFECTIONS IN KIDNEY TRANSPLANT RECIPIENTS </w:t>
      </w:r>
    </w:p>
    <w:p w14:paraId="6B9066FD" w14:textId="77777777" w:rsidR="009708F1" w:rsidRPr="00815B48" w:rsidRDefault="009708F1" w:rsidP="00E23F66">
      <w:pPr>
        <w:spacing w:after="0" w:line="240" w:lineRule="auto"/>
        <w:jc w:val="both"/>
        <w:rPr>
          <w:b/>
        </w:rPr>
      </w:pPr>
    </w:p>
    <w:p w14:paraId="44044407" w14:textId="77777777" w:rsidR="00B72E7C" w:rsidRDefault="00B72E7C" w:rsidP="00E23F66">
      <w:pPr>
        <w:spacing w:after="0" w:line="240" w:lineRule="auto"/>
        <w:jc w:val="both"/>
        <w:outlineLvl w:val="0"/>
      </w:pPr>
      <w:r w:rsidRPr="000943C5">
        <w:t>Jennifer Huang</w:t>
      </w:r>
      <w:r w:rsidRPr="00480178">
        <w:rPr>
          <w:vertAlign w:val="superscript"/>
        </w:rPr>
        <w:t>1</w:t>
      </w:r>
      <w:r w:rsidRPr="000943C5">
        <w:t>, Matthew Magruder</w:t>
      </w:r>
      <w:r w:rsidRPr="00480178">
        <w:rPr>
          <w:vertAlign w:val="superscript"/>
        </w:rPr>
        <w:t>1</w:t>
      </w:r>
      <w:r w:rsidRPr="000943C5">
        <w:t>,</w:t>
      </w:r>
      <w:r>
        <w:t xml:space="preserve"> Lisa Zhang</w:t>
      </w:r>
      <w:r w:rsidRPr="00480178">
        <w:rPr>
          <w:vertAlign w:val="superscript"/>
        </w:rPr>
        <w:t>1</w:t>
      </w:r>
      <w:r>
        <w:t>, Shady Albakry</w:t>
      </w:r>
      <w:r w:rsidRPr="00480178">
        <w:rPr>
          <w:vertAlign w:val="superscript"/>
        </w:rPr>
        <w:t>1</w:t>
      </w:r>
      <w:r>
        <w:t>, Emmanuel Edusei</w:t>
      </w:r>
      <w:r w:rsidRPr="00480178">
        <w:rPr>
          <w:vertAlign w:val="superscript"/>
        </w:rPr>
        <w:t>1</w:t>
      </w:r>
      <w:r>
        <w:t>, Eric Pamer</w:t>
      </w:r>
      <w:r>
        <w:rPr>
          <w:vertAlign w:val="superscript"/>
        </w:rPr>
        <w:t>2</w:t>
      </w:r>
      <w:r>
        <w:t>, Manikkam Suthanthiran</w:t>
      </w:r>
      <w:r w:rsidRPr="00480178">
        <w:rPr>
          <w:vertAlign w:val="superscript"/>
        </w:rPr>
        <w:t>1</w:t>
      </w:r>
      <w:r>
        <w:t xml:space="preserve">, </w:t>
      </w:r>
      <w:r w:rsidRPr="000943C5">
        <w:t>John R</w:t>
      </w:r>
      <w:r>
        <w:t>ichard</w:t>
      </w:r>
      <w:r w:rsidRPr="000943C5">
        <w:t xml:space="preserve"> Lee</w:t>
      </w:r>
      <w:r w:rsidRPr="00480178">
        <w:rPr>
          <w:vertAlign w:val="superscript"/>
        </w:rPr>
        <w:t>1</w:t>
      </w:r>
    </w:p>
    <w:p w14:paraId="72B2AA90" w14:textId="1EAE64D4" w:rsidR="00B72E7C" w:rsidRDefault="00B72E7C" w:rsidP="00E23F66">
      <w:pPr>
        <w:spacing w:after="0" w:line="240" w:lineRule="auto"/>
        <w:jc w:val="both"/>
      </w:pPr>
      <w:r w:rsidRPr="00480178">
        <w:rPr>
          <w:vertAlign w:val="superscript"/>
        </w:rPr>
        <w:t>1</w:t>
      </w:r>
      <w:r w:rsidRPr="000943C5">
        <w:t xml:space="preserve">Weill Cornell Medicine, New York, NY </w:t>
      </w:r>
      <w:r>
        <w:t xml:space="preserve">10021; </w:t>
      </w:r>
      <w:r w:rsidRPr="00480178">
        <w:rPr>
          <w:vertAlign w:val="superscript"/>
        </w:rPr>
        <w:t>2</w:t>
      </w:r>
      <w:r>
        <w:t>Memorial Sloan Kettering Cancer Center, New York, NY 10065</w:t>
      </w:r>
    </w:p>
    <w:p w14:paraId="1F73089B" w14:textId="77777777" w:rsidR="009708F1" w:rsidRDefault="009708F1" w:rsidP="00E23F66">
      <w:pPr>
        <w:spacing w:after="0" w:line="240" w:lineRule="auto"/>
        <w:jc w:val="both"/>
        <w:outlineLvl w:val="0"/>
      </w:pPr>
    </w:p>
    <w:p w14:paraId="1B1DF70E" w14:textId="1AADC314" w:rsidR="009708F1" w:rsidRDefault="009708F1" w:rsidP="00E23F66">
      <w:pPr>
        <w:spacing w:after="0" w:line="240" w:lineRule="auto"/>
        <w:jc w:val="both"/>
      </w:pPr>
      <w:r w:rsidRPr="001B2386">
        <w:rPr>
          <w:b/>
        </w:rPr>
        <w:t>BACKGROUND</w:t>
      </w:r>
      <w:r>
        <w:rPr>
          <w:b/>
        </w:rPr>
        <w:t>.</w:t>
      </w:r>
      <w:r>
        <w:t xml:space="preserve"> </w:t>
      </w:r>
      <w:r w:rsidR="00C5201A">
        <w:t xml:space="preserve">Recent studies </w:t>
      </w:r>
      <w:r w:rsidR="000F6F47">
        <w:t>suggest that</w:t>
      </w:r>
      <w:r w:rsidR="00C5201A">
        <w:t xml:space="preserve"> the</w:t>
      </w:r>
      <w:r>
        <w:t xml:space="preserve"> gut microbiome </w:t>
      </w:r>
      <w:r w:rsidR="000F6F47">
        <w:t xml:space="preserve">plays </w:t>
      </w:r>
      <w:r>
        <w:t xml:space="preserve">a critical role in protecting its host from infections beyond </w:t>
      </w:r>
      <w:r>
        <w:rPr>
          <w:i/>
        </w:rPr>
        <w:t xml:space="preserve">Clostridium difficile. </w:t>
      </w:r>
      <w:r>
        <w:t>Notably, butyrate</w:t>
      </w:r>
      <w:r w:rsidR="00685A62">
        <w:t>-</w:t>
      </w:r>
      <w:r>
        <w:t xml:space="preserve">producing bacteria </w:t>
      </w:r>
      <w:r w:rsidR="00863C7E">
        <w:t xml:space="preserve">may </w:t>
      </w:r>
      <w:r w:rsidR="00A17FC3">
        <w:t>be</w:t>
      </w:r>
      <w:r>
        <w:t xml:space="preserve"> beneficial to gut health and have recently have been associated with lower rates of respiratory tract infections in bone marrow transplant recipients (</w:t>
      </w:r>
      <w:proofErr w:type="spellStart"/>
      <w:r>
        <w:t>Haak</w:t>
      </w:r>
      <w:proofErr w:type="spellEnd"/>
      <w:r>
        <w:t xml:space="preserve"> et al., Blood 131(26): 2978, 2018). In this study, we evaluated the relationship between butyrate-producing gut bacteria and future development of viral infections in kidney transplant recipients. </w:t>
      </w:r>
    </w:p>
    <w:p w14:paraId="679B9845" w14:textId="77777777" w:rsidR="009708F1" w:rsidRDefault="009708F1" w:rsidP="00E23F66">
      <w:pPr>
        <w:spacing w:after="0" w:line="240" w:lineRule="auto"/>
        <w:jc w:val="both"/>
      </w:pPr>
    </w:p>
    <w:p w14:paraId="572D7425" w14:textId="08910356" w:rsidR="009708F1" w:rsidRDefault="009708F1" w:rsidP="00E23F66">
      <w:pPr>
        <w:spacing w:after="0" w:line="240" w:lineRule="auto"/>
        <w:jc w:val="both"/>
        <w:rPr>
          <w:b/>
        </w:rPr>
      </w:pPr>
      <w:r w:rsidRPr="001B2386">
        <w:rPr>
          <w:b/>
        </w:rPr>
        <w:t>METHODS</w:t>
      </w:r>
      <w:r>
        <w:rPr>
          <w:b/>
        </w:rPr>
        <w:t>.</w:t>
      </w:r>
      <w:r>
        <w:t xml:space="preserve"> We evaluated stool samples collected </w:t>
      </w:r>
      <w:r w:rsidR="00AC40C3">
        <w:t>two</w:t>
      </w:r>
      <w:r>
        <w:t xml:space="preserve"> weeks after transplantation from 115 kidney transplant recipients and profiled the microbiome using 16S rRNA gene deep sequencing of the V4-V5 hypervariable region. Based on a 1% relative abundance </w:t>
      </w:r>
      <w:r w:rsidR="002F2954">
        <w:t xml:space="preserve">cutoff </w:t>
      </w:r>
      <w:r>
        <w:t xml:space="preserve">previously reported in </w:t>
      </w:r>
      <w:proofErr w:type="spellStart"/>
      <w:r>
        <w:t>Haak</w:t>
      </w:r>
      <w:proofErr w:type="spellEnd"/>
      <w:r>
        <w:t xml:space="preserve"> et al. 2018, we evaluated whether having a low abundance of butyrate-producers (&lt;1% relative abundance) was a risk factor for development of three common viral infections within the first two years after kidney transplantation: BK viremia, cytomegalovirus (CMV) viremia, and respiratory tract (RV) infections.</w:t>
      </w:r>
      <w:r>
        <w:rPr>
          <w:b/>
        </w:rPr>
        <w:t xml:space="preserve"> </w:t>
      </w:r>
    </w:p>
    <w:p w14:paraId="05CD8A8F" w14:textId="77777777" w:rsidR="009708F1" w:rsidRDefault="009708F1" w:rsidP="00E23F66">
      <w:pPr>
        <w:spacing w:after="0" w:line="240" w:lineRule="auto"/>
        <w:jc w:val="both"/>
      </w:pPr>
    </w:p>
    <w:p w14:paraId="39493EA1" w14:textId="7BE2DDE1" w:rsidR="009708F1" w:rsidRDefault="00BD428E" w:rsidP="00E23F66">
      <w:pPr>
        <w:spacing w:after="0" w:line="240" w:lineRule="auto"/>
        <w:jc w:val="both"/>
        <w:rPr>
          <w:b/>
        </w:rPr>
      </w:pPr>
      <w:r>
        <w:rPr>
          <w:b/>
          <w:noProof/>
        </w:rPr>
        <w:drawing>
          <wp:anchor distT="0" distB="0" distL="114300" distR="114300" simplePos="0" relativeHeight="251658240" behindDoc="1" locked="0" layoutInCell="1" allowOverlap="1" wp14:anchorId="5188EEA3" wp14:editId="76741A93">
            <wp:simplePos x="0" y="0"/>
            <wp:positionH relativeFrom="column">
              <wp:posOffset>2695575</wp:posOffset>
            </wp:positionH>
            <wp:positionV relativeFrom="paragraph">
              <wp:posOffset>571500</wp:posOffset>
            </wp:positionV>
            <wp:extent cx="4147820" cy="4161790"/>
            <wp:effectExtent l="19050" t="19050" r="24130" b="10160"/>
            <wp:wrapTight wrapText="bothSides">
              <wp:wrapPolygon edited="0">
                <wp:start x="-99" y="-99"/>
                <wp:lineTo x="-99" y="21554"/>
                <wp:lineTo x="21626" y="21554"/>
                <wp:lineTo x="21626" y="-99"/>
                <wp:lineTo x="-99" y="-99"/>
              </wp:wrapPolygon>
            </wp:wrapTight>
            <wp:docPr id="2" name="Picture 2" descr="A screenshot of a comput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S abstract figu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47820" cy="416179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708F1" w:rsidRPr="001B2386">
        <w:rPr>
          <w:b/>
        </w:rPr>
        <w:t>RESULTS</w:t>
      </w:r>
      <w:r w:rsidR="009708F1">
        <w:rPr>
          <w:b/>
        </w:rPr>
        <w:t>.</w:t>
      </w:r>
      <w:r w:rsidR="009708F1">
        <w:t xml:space="preserve"> In the study cohort, 22 developed BK viremia, 15 developed CMV viremia, 23 developed RV infections, and 50 developed at least one of the three viral infections. Univariate Cox regression analysis showed that subjects with low abundance butyrate-producers had a significantly increased risk for developing RV infections than those with high abundance butyrate-producers (Hazard Ratio: 3.1, P=0.0</w:t>
      </w:r>
      <w:r w:rsidR="009708F1" w:rsidRPr="00097395">
        <w:t>3</w:t>
      </w:r>
      <w:r w:rsidR="009708F1">
        <w:t>) (Fig. A). There was no significant difference in the development of BK viremia (P= 0.62), CMV viremia (P=0.3</w:t>
      </w:r>
      <w:r w:rsidR="00B8373C">
        <w:t>2</w:t>
      </w:r>
      <w:r w:rsidR="009708F1">
        <w:t>), or a combination of the three viral infections (P=0.2</w:t>
      </w:r>
      <w:r w:rsidR="00DD0456">
        <w:t>8</w:t>
      </w:r>
      <w:r w:rsidR="009708F1">
        <w:t xml:space="preserve">) between subjects </w:t>
      </w:r>
      <w:bookmarkStart w:id="0" w:name="_GoBack"/>
      <w:bookmarkEnd w:id="0"/>
      <w:r w:rsidR="009708F1">
        <w:t>who had high vs. low abundance butyrate-producers (Fig. B-D).</w:t>
      </w:r>
      <w:r w:rsidR="009708F1">
        <w:rPr>
          <w:b/>
        </w:rPr>
        <w:t xml:space="preserve"> </w:t>
      </w:r>
    </w:p>
    <w:p w14:paraId="49F4868C" w14:textId="0FF66DE7" w:rsidR="009708F1" w:rsidRDefault="009708F1" w:rsidP="00E23F66">
      <w:pPr>
        <w:spacing w:after="0" w:line="240" w:lineRule="auto"/>
        <w:jc w:val="both"/>
      </w:pPr>
    </w:p>
    <w:p w14:paraId="219CCA95" w14:textId="0C7BE1E4" w:rsidR="002E10A3" w:rsidRDefault="009708F1" w:rsidP="00E23F66">
      <w:pPr>
        <w:spacing w:after="0" w:line="240" w:lineRule="auto"/>
        <w:jc w:val="both"/>
        <w:outlineLvl w:val="0"/>
      </w:pPr>
      <w:r w:rsidRPr="001B2386">
        <w:rPr>
          <w:b/>
        </w:rPr>
        <w:t>CONCLUSIONS:</w:t>
      </w:r>
      <w:r>
        <w:t xml:space="preserve"> Our results extend the novel association between the gut microbiome and development of viral infections from cell transplant recipients to solid organ graft recipients. Altogether, these findings support targeting the gut microbiota as a strategy to prevent and/or treat viral infections.</w:t>
      </w:r>
    </w:p>
    <w:p w14:paraId="13874F1D" w14:textId="5895E24E" w:rsidR="009708F1" w:rsidRDefault="009708F1" w:rsidP="00E23F66">
      <w:pPr>
        <w:spacing w:after="0" w:line="240" w:lineRule="auto"/>
        <w:jc w:val="both"/>
        <w:outlineLvl w:val="0"/>
        <w:rPr>
          <w:b/>
        </w:rPr>
      </w:pPr>
    </w:p>
    <w:p w14:paraId="2C217AFD" w14:textId="0FB4614E" w:rsidR="009E3B34" w:rsidRDefault="009E405B" w:rsidP="00E23F66">
      <w:pPr>
        <w:spacing w:after="0" w:line="240" w:lineRule="auto"/>
        <w:jc w:val="both"/>
        <w:outlineLvl w:val="0"/>
      </w:pPr>
      <w:r w:rsidRPr="001B2386">
        <w:rPr>
          <w:b/>
        </w:rPr>
        <w:t>CONTENT CATEGORY:</w:t>
      </w:r>
      <w:r>
        <w:t xml:space="preserve"> Clinical science, translational science</w:t>
      </w:r>
    </w:p>
    <w:p w14:paraId="37AF1B8B" w14:textId="77777777" w:rsidR="00684981" w:rsidRDefault="00684981" w:rsidP="00E23F66">
      <w:pPr>
        <w:spacing w:after="0" w:line="240" w:lineRule="auto"/>
        <w:jc w:val="both"/>
        <w:outlineLvl w:val="0"/>
        <w:rPr>
          <w:b/>
        </w:rPr>
      </w:pPr>
    </w:p>
    <w:p w14:paraId="0A81E410" w14:textId="489D39D6" w:rsidR="006A744D" w:rsidRPr="00D44F9F" w:rsidRDefault="009E405B" w:rsidP="00D44F9F">
      <w:pPr>
        <w:spacing w:after="0" w:line="240" w:lineRule="auto"/>
        <w:outlineLvl w:val="0"/>
        <w:rPr>
          <w:i/>
        </w:rPr>
      </w:pPr>
      <w:r w:rsidRPr="00952961">
        <w:rPr>
          <w:b/>
        </w:rPr>
        <w:t>KEYWORDS</w:t>
      </w:r>
      <w:r>
        <w:t xml:space="preserve">: </w:t>
      </w:r>
      <w:r>
        <w:rPr>
          <w:i/>
        </w:rPr>
        <w:t>microbiome, kidney, transplant, virus</w:t>
      </w:r>
    </w:p>
    <w:sectPr w:rsidR="006A744D" w:rsidRPr="00D44F9F" w:rsidSect="00E23F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0E"/>
    <w:rsid w:val="000111B5"/>
    <w:rsid w:val="00052018"/>
    <w:rsid w:val="00092758"/>
    <w:rsid w:val="000943C5"/>
    <w:rsid w:val="000965DC"/>
    <w:rsid w:val="00097395"/>
    <w:rsid w:val="000A7BF0"/>
    <w:rsid w:val="000C5E07"/>
    <w:rsid w:val="000F6F47"/>
    <w:rsid w:val="001032A4"/>
    <w:rsid w:val="0010335D"/>
    <w:rsid w:val="00107E8F"/>
    <w:rsid w:val="00117A4B"/>
    <w:rsid w:val="00135D36"/>
    <w:rsid w:val="00142001"/>
    <w:rsid w:val="001808AF"/>
    <w:rsid w:val="00181A6C"/>
    <w:rsid w:val="001B6572"/>
    <w:rsid w:val="001C0DF1"/>
    <w:rsid w:val="001D3889"/>
    <w:rsid w:val="001D3C7A"/>
    <w:rsid w:val="001E5E1D"/>
    <w:rsid w:val="00232A7A"/>
    <w:rsid w:val="00246462"/>
    <w:rsid w:val="0025412D"/>
    <w:rsid w:val="0026345F"/>
    <w:rsid w:val="002652BC"/>
    <w:rsid w:val="00276F42"/>
    <w:rsid w:val="002771B5"/>
    <w:rsid w:val="00287B0B"/>
    <w:rsid w:val="00290624"/>
    <w:rsid w:val="002915ED"/>
    <w:rsid w:val="002C0958"/>
    <w:rsid w:val="002E10A3"/>
    <w:rsid w:val="002E681E"/>
    <w:rsid w:val="002F2954"/>
    <w:rsid w:val="002F4C15"/>
    <w:rsid w:val="00312238"/>
    <w:rsid w:val="00317FAE"/>
    <w:rsid w:val="003211BF"/>
    <w:rsid w:val="0032572D"/>
    <w:rsid w:val="00336F56"/>
    <w:rsid w:val="0034250D"/>
    <w:rsid w:val="003434DA"/>
    <w:rsid w:val="00345877"/>
    <w:rsid w:val="0036398B"/>
    <w:rsid w:val="00375D31"/>
    <w:rsid w:val="0037737F"/>
    <w:rsid w:val="0038085C"/>
    <w:rsid w:val="003875DD"/>
    <w:rsid w:val="00387647"/>
    <w:rsid w:val="00397651"/>
    <w:rsid w:val="003A180E"/>
    <w:rsid w:val="003A1E03"/>
    <w:rsid w:val="003B6FE4"/>
    <w:rsid w:val="003D20A4"/>
    <w:rsid w:val="003D449D"/>
    <w:rsid w:val="003E121F"/>
    <w:rsid w:val="003E2593"/>
    <w:rsid w:val="003E4688"/>
    <w:rsid w:val="00412169"/>
    <w:rsid w:val="00413EBC"/>
    <w:rsid w:val="004161BE"/>
    <w:rsid w:val="00417238"/>
    <w:rsid w:val="00417EF1"/>
    <w:rsid w:val="00433151"/>
    <w:rsid w:val="00437A00"/>
    <w:rsid w:val="00444291"/>
    <w:rsid w:val="00456FD4"/>
    <w:rsid w:val="0046027F"/>
    <w:rsid w:val="00465741"/>
    <w:rsid w:val="00470448"/>
    <w:rsid w:val="00485416"/>
    <w:rsid w:val="004A2F9C"/>
    <w:rsid w:val="004A326F"/>
    <w:rsid w:val="004A74D4"/>
    <w:rsid w:val="004B2620"/>
    <w:rsid w:val="004B6883"/>
    <w:rsid w:val="004C3A95"/>
    <w:rsid w:val="004C4D22"/>
    <w:rsid w:val="004F1A7D"/>
    <w:rsid w:val="004F226B"/>
    <w:rsid w:val="005005B3"/>
    <w:rsid w:val="00504E57"/>
    <w:rsid w:val="00536D1A"/>
    <w:rsid w:val="00544517"/>
    <w:rsid w:val="005526E8"/>
    <w:rsid w:val="00576372"/>
    <w:rsid w:val="00595BDD"/>
    <w:rsid w:val="005A04F7"/>
    <w:rsid w:val="005C0268"/>
    <w:rsid w:val="005D03CB"/>
    <w:rsid w:val="005E581A"/>
    <w:rsid w:val="005E5EAA"/>
    <w:rsid w:val="005F1D8D"/>
    <w:rsid w:val="005F2DF9"/>
    <w:rsid w:val="00600C2F"/>
    <w:rsid w:val="0061601E"/>
    <w:rsid w:val="00627354"/>
    <w:rsid w:val="00632DF7"/>
    <w:rsid w:val="006405E0"/>
    <w:rsid w:val="00642652"/>
    <w:rsid w:val="00647167"/>
    <w:rsid w:val="006564A2"/>
    <w:rsid w:val="00684981"/>
    <w:rsid w:val="00685A62"/>
    <w:rsid w:val="006942D7"/>
    <w:rsid w:val="006976D1"/>
    <w:rsid w:val="006A1023"/>
    <w:rsid w:val="006A744D"/>
    <w:rsid w:val="006A7B99"/>
    <w:rsid w:val="006C1EB7"/>
    <w:rsid w:val="006D4E07"/>
    <w:rsid w:val="006E0C00"/>
    <w:rsid w:val="006E5E9F"/>
    <w:rsid w:val="006E6C06"/>
    <w:rsid w:val="006F0F73"/>
    <w:rsid w:val="006F509C"/>
    <w:rsid w:val="006F6F3C"/>
    <w:rsid w:val="00702BC2"/>
    <w:rsid w:val="00710475"/>
    <w:rsid w:val="0073504B"/>
    <w:rsid w:val="00746C0D"/>
    <w:rsid w:val="00754A50"/>
    <w:rsid w:val="00760994"/>
    <w:rsid w:val="00773E85"/>
    <w:rsid w:val="007857AC"/>
    <w:rsid w:val="00791123"/>
    <w:rsid w:val="00792F38"/>
    <w:rsid w:val="007C5F46"/>
    <w:rsid w:val="007E4BAC"/>
    <w:rsid w:val="007F0AC8"/>
    <w:rsid w:val="00833F6F"/>
    <w:rsid w:val="00837653"/>
    <w:rsid w:val="008573D2"/>
    <w:rsid w:val="00863626"/>
    <w:rsid w:val="00863C7E"/>
    <w:rsid w:val="008833ED"/>
    <w:rsid w:val="008967E9"/>
    <w:rsid w:val="008C1B49"/>
    <w:rsid w:val="008E76F0"/>
    <w:rsid w:val="0093642B"/>
    <w:rsid w:val="009606D4"/>
    <w:rsid w:val="00964969"/>
    <w:rsid w:val="009708F1"/>
    <w:rsid w:val="0097558D"/>
    <w:rsid w:val="009B170A"/>
    <w:rsid w:val="009E3B34"/>
    <w:rsid w:val="009E405B"/>
    <w:rsid w:val="009E7A1B"/>
    <w:rsid w:val="009E7EDA"/>
    <w:rsid w:val="009F0280"/>
    <w:rsid w:val="00A14C13"/>
    <w:rsid w:val="00A17FC3"/>
    <w:rsid w:val="00A345FD"/>
    <w:rsid w:val="00A50F84"/>
    <w:rsid w:val="00A64718"/>
    <w:rsid w:val="00AC2899"/>
    <w:rsid w:val="00AC40C3"/>
    <w:rsid w:val="00AD0D49"/>
    <w:rsid w:val="00AD2AC0"/>
    <w:rsid w:val="00AD3FED"/>
    <w:rsid w:val="00AE59CB"/>
    <w:rsid w:val="00B01734"/>
    <w:rsid w:val="00B13A54"/>
    <w:rsid w:val="00B159EB"/>
    <w:rsid w:val="00B22D2F"/>
    <w:rsid w:val="00B305E9"/>
    <w:rsid w:val="00B41745"/>
    <w:rsid w:val="00B512F9"/>
    <w:rsid w:val="00B57029"/>
    <w:rsid w:val="00B72E7C"/>
    <w:rsid w:val="00B82556"/>
    <w:rsid w:val="00B8373C"/>
    <w:rsid w:val="00B92D6C"/>
    <w:rsid w:val="00B95010"/>
    <w:rsid w:val="00B95D32"/>
    <w:rsid w:val="00BB6F3D"/>
    <w:rsid w:val="00BD428E"/>
    <w:rsid w:val="00BF2CFD"/>
    <w:rsid w:val="00BF2EAB"/>
    <w:rsid w:val="00C1083D"/>
    <w:rsid w:val="00C10F3C"/>
    <w:rsid w:val="00C1351F"/>
    <w:rsid w:val="00C258D4"/>
    <w:rsid w:val="00C26282"/>
    <w:rsid w:val="00C459EF"/>
    <w:rsid w:val="00C51FF6"/>
    <w:rsid w:val="00C5201A"/>
    <w:rsid w:val="00C52220"/>
    <w:rsid w:val="00C56296"/>
    <w:rsid w:val="00C729FD"/>
    <w:rsid w:val="00C74239"/>
    <w:rsid w:val="00C84EAD"/>
    <w:rsid w:val="00CA2601"/>
    <w:rsid w:val="00CA5312"/>
    <w:rsid w:val="00CB071C"/>
    <w:rsid w:val="00CB0A65"/>
    <w:rsid w:val="00CB458C"/>
    <w:rsid w:val="00CD5DE4"/>
    <w:rsid w:val="00CD6ED7"/>
    <w:rsid w:val="00CE0E21"/>
    <w:rsid w:val="00CE1BE9"/>
    <w:rsid w:val="00D07301"/>
    <w:rsid w:val="00D25E13"/>
    <w:rsid w:val="00D35246"/>
    <w:rsid w:val="00D36A71"/>
    <w:rsid w:val="00D44F9F"/>
    <w:rsid w:val="00D55343"/>
    <w:rsid w:val="00D56F69"/>
    <w:rsid w:val="00D674C4"/>
    <w:rsid w:val="00D74B0E"/>
    <w:rsid w:val="00DA6F6A"/>
    <w:rsid w:val="00DD0456"/>
    <w:rsid w:val="00DD23BB"/>
    <w:rsid w:val="00DD5746"/>
    <w:rsid w:val="00DE45D1"/>
    <w:rsid w:val="00DE76A2"/>
    <w:rsid w:val="00DF3440"/>
    <w:rsid w:val="00E053CA"/>
    <w:rsid w:val="00E063D8"/>
    <w:rsid w:val="00E11420"/>
    <w:rsid w:val="00E17E9F"/>
    <w:rsid w:val="00E23F66"/>
    <w:rsid w:val="00E24AAA"/>
    <w:rsid w:val="00E342CD"/>
    <w:rsid w:val="00E46A05"/>
    <w:rsid w:val="00E5037A"/>
    <w:rsid w:val="00E62341"/>
    <w:rsid w:val="00EE3DDE"/>
    <w:rsid w:val="00EE4B02"/>
    <w:rsid w:val="00EE53B6"/>
    <w:rsid w:val="00EE6175"/>
    <w:rsid w:val="00EF00BB"/>
    <w:rsid w:val="00EF67A5"/>
    <w:rsid w:val="00F215AB"/>
    <w:rsid w:val="00F31F98"/>
    <w:rsid w:val="00F336C0"/>
    <w:rsid w:val="00F3685F"/>
    <w:rsid w:val="00F5056E"/>
    <w:rsid w:val="00F727D6"/>
    <w:rsid w:val="00F729CA"/>
    <w:rsid w:val="00F801B3"/>
    <w:rsid w:val="00F80AE8"/>
    <w:rsid w:val="00FA130E"/>
    <w:rsid w:val="00FA6307"/>
    <w:rsid w:val="00FC4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53F0"/>
  <w15:chartTrackingRefBased/>
  <w15:docId w15:val="{FB519F97-757A-4162-AD89-61776E55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72D"/>
    <w:pPr>
      <w:spacing w:after="200" w:line="276" w:lineRule="auto"/>
    </w:pPr>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A50"/>
    <w:pPr>
      <w:spacing w:before="100" w:beforeAutospacing="1" w:after="100" w:afterAutospacing="1" w:line="240" w:lineRule="auto"/>
    </w:pPr>
    <w:rPr>
      <w:rFonts w:eastAsia="Times New Roman"/>
      <w:lang w:eastAsia="zh-CN"/>
    </w:rPr>
  </w:style>
  <w:style w:type="paragraph" w:styleId="BalloonText">
    <w:name w:val="Balloon Text"/>
    <w:basedOn w:val="Normal"/>
    <w:link w:val="BalloonTextChar"/>
    <w:uiPriority w:val="99"/>
    <w:semiHidden/>
    <w:unhideWhenUsed/>
    <w:rsid w:val="002C095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C0958"/>
    <w:rPr>
      <w:rFonts w:ascii="Times New Roman" w:hAnsi="Times New Roman" w:cs="Times New Roman"/>
      <w:sz w:val="18"/>
      <w:szCs w:val="18"/>
      <w:lang w:eastAsia="zh-TW"/>
    </w:rPr>
  </w:style>
  <w:style w:type="paragraph" w:styleId="DocumentMap">
    <w:name w:val="Document Map"/>
    <w:basedOn w:val="Normal"/>
    <w:link w:val="DocumentMapChar"/>
    <w:uiPriority w:val="99"/>
    <w:semiHidden/>
    <w:unhideWhenUsed/>
    <w:rsid w:val="002C0958"/>
    <w:pPr>
      <w:spacing w:after="0" w:line="240" w:lineRule="auto"/>
    </w:pPr>
  </w:style>
  <w:style w:type="character" w:customStyle="1" w:styleId="DocumentMapChar">
    <w:name w:val="Document Map Char"/>
    <w:basedOn w:val="DefaultParagraphFont"/>
    <w:link w:val="DocumentMap"/>
    <w:uiPriority w:val="99"/>
    <w:semiHidden/>
    <w:rsid w:val="002C0958"/>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289">
      <w:bodyDiv w:val="1"/>
      <w:marLeft w:val="0"/>
      <w:marRight w:val="0"/>
      <w:marTop w:val="0"/>
      <w:marBottom w:val="0"/>
      <w:divBdr>
        <w:top w:val="none" w:sz="0" w:space="0" w:color="auto"/>
        <w:left w:val="none" w:sz="0" w:space="0" w:color="auto"/>
        <w:bottom w:val="none" w:sz="0" w:space="0" w:color="auto"/>
        <w:right w:val="none" w:sz="0" w:space="0" w:color="auto"/>
      </w:divBdr>
    </w:div>
    <w:div w:id="161703350">
      <w:bodyDiv w:val="1"/>
      <w:marLeft w:val="0"/>
      <w:marRight w:val="0"/>
      <w:marTop w:val="0"/>
      <w:marBottom w:val="0"/>
      <w:divBdr>
        <w:top w:val="none" w:sz="0" w:space="0" w:color="auto"/>
        <w:left w:val="none" w:sz="0" w:space="0" w:color="auto"/>
        <w:bottom w:val="none" w:sz="0" w:space="0" w:color="auto"/>
        <w:right w:val="none" w:sz="0" w:space="0" w:color="auto"/>
      </w:divBdr>
    </w:div>
    <w:div w:id="311103330">
      <w:bodyDiv w:val="1"/>
      <w:marLeft w:val="0"/>
      <w:marRight w:val="0"/>
      <w:marTop w:val="0"/>
      <w:marBottom w:val="0"/>
      <w:divBdr>
        <w:top w:val="none" w:sz="0" w:space="0" w:color="auto"/>
        <w:left w:val="none" w:sz="0" w:space="0" w:color="auto"/>
        <w:bottom w:val="none" w:sz="0" w:space="0" w:color="auto"/>
        <w:right w:val="none" w:sz="0" w:space="0" w:color="auto"/>
      </w:divBdr>
    </w:div>
    <w:div w:id="577667039">
      <w:bodyDiv w:val="1"/>
      <w:marLeft w:val="0"/>
      <w:marRight w:val="0"/>
      <w:marTop w:val="0"/>
      <w:marBottom w:val="0"/>
      <w:divBdr>
        <w:top w:val="none" w:sz="0" w:space="0" w:color="auto"/>
        <w:left w:val="none" w:sz="0" w:space="0" w:color="auto"/>
        <w:bottom w:val="none" w:sz="0" w:space="0" w:color="auto"/>
        <w:right w:val="none" w:sz="0" w:space="0" w:color="auto"/>
      </w:divBdr>
    </w:div>
    <w:div w:id="660427963">
      <w:bodyDiv w:val="1"/>
      <w:marLeft w:val="0"/>
      <w:marRight w:val="0"/>
      <w:marTop w:val="0"/>
      <w:marBottom w:val="0"/>
      <w:divBdr>
        <w:top w:val="none" w:sz="0" w:space="0" w:color="auto"/>
        <w:left w:val="none" w:sz="0" w:space="0" w:color="auto"/>
        <w:bottom w:val="none" w:sz="0" w:space="0" w:color="auto"/>
        <w:right w:val="none" w:sz="0" w:space="0" w:color="auto"/>
      </w:divBdr>
    </w:div>
    <w:div w:id="16393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Huang</dc:creator>
  <cp:keywords/>
  <dc:description/>
  <cp:lastModifiedBy>J Li</cp:lastModifiedBy>
  <cp:revision>7</cp:revision>
  <cp:lastPrinted>2018-10-24T16:50:00Z</cp:lastPrinted>
  <dcterms:created xsi:type="dcterms:W3CDTF">2018-08-15T20:12:00Z</dcterms:created>
  <dcterms:modified xsi:type="dcterms:W3CDTF">2018-10-25T15:30:00Z</dcterms:modified>
</cp:coreProperties>
</file>