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6C9E89" w14:textId="77777777" w:rsidR="0036463D" w:rsidRPr="0036463D" w:rsidRDefault="0036463D" w:rsidP="0036463D">
      <w:pPr>
        <w:spacing w:after="0"/>
        <w:jc w:val="right"/>
        <w:rPr>
          <w:rFonts w:eastAsia="Times New Roman"/>
          <w:b/>
          <w:bCs/>
          <w:color w:val="0070C0"/>
        </w:rPr>
      </w:pPr>
      <w:r w:rsidRPr="0036463D">
        <w:rPr>
          <w:rFonts w:eastAsia="Times New Roman"/>
          <w:b/>
          <w:bCs/>
          <w:color w:val="0070C0"/>
        </w:rPr>
        <w:t>POSTER PRESENTER</w:t>
      </w:r>
    </w:p>
    <w:p w14:paraId="1E4923E6" w14:textId="7E438A41" w:rsidR="001C71FC" w:rsidRPr="0036463D" w:rsidRDefault="00AB790B" w:rsidP="0036463D">
      <w:pPr>
        <w:spacing w:after="0" w:line="240" w:lineRule="auto"/>
        <w:jc w:val="right"/>
        <w:rPr>
          <w:b/>
          <w:color w:val="0070C0"/>
        </w:rPr>
      </w:pPr>
      <w:r w:rsidRPr="0036463D">
        <w:rPr>
          <w:b/>
          <w:color w:val="0070C0"/>
        </w:rPr>
        <w:t>POSTER #</w:t>
      </w:r>
      <w:r w:rsidR="001C71FC" w:rsidRPr="0036463D">
        <w:rPr>
          <w:b/>
          <w:color w:val="0070C0"/>
        </w:rPr>
        <w:t>9</w:t>
      </w:r>
    </w:p>
    <w:p w14:paraId="449D74E2" w14:textId="5AED0DD2" w:rsidR="00AB790B" w:rsidRDefault="00AB790B" w:rsidP="00AB790B">
      <w:pPr>
        <w:spacing w:after="0" w:line="240" w:lineRule="auto"/>
        <w:jc w:val="both"/>
        <w:rPr>
          <w:b/>
        </w:rPr>
      </w:pPr>
    </w:p>
    <w:p w14:paraId="533822F4" w14:textId="77777777" w:rsidR="00DC5D14" w:rsidRDefault="00DC5D14" w:rsidP="00AB790B">
      <w:pPr>
        <w:spacing w:after="0" w:line="240" w:lineRule="auto"/>
        <w:jc w:val="both"/>
        <w:rPr>
          <w:b/>
        </w:rPr>
      </w:pPr>
    </w:p>
    <w:p w14:paraId="111C526D" w14:textId="369E21D8" w:rsidR="002F0666" w:rsidRPr="00C8691F" w:rsidRDefault="002F0666" w:rsidP="00AB790B">
      <w:pPr>
        <w:spacing w:after="0" w:line="240" w:lineRule="auto"/>
        <w:jc w:val="both"/>
        <w:rPr>
          <w:b/>
        </w:rPr>
      </w:pPr>
      <w:r>
        <w:rPr>
          <w:b/>
        </w:rPr>
        <w:t>CELL FREE DNA ANALYSIS OF PERITONEAL FLUID IS DIAGNOSTIC OF COMMON AND RARE CASES OF PERITONITIS IN PERITONEAL DIALYSIS PATIENTS</w:t>
      </w:r>
    </w:p>
    <w:p w14:paraId="0692CBA9" w14:textId="0BA1F989" w:rsidR="002F0666" w:rsidRPr="00300DE7" w:rsidRDefault="002F0666" w:rsidP="00AB790B">
      <w:pPr>
        <w:pStyle w:val="tiny-space-below"/>
        <w:spacing w:after="0" w:afterAutospacing="0"/>
        <w:jc w:val="both"/>
        <w:rPr>
          <w:color w:val="222222"/>
          <w:spacing w:val="3"/>
        </w:rPr>
      </w:pPr>
      <w:r w:rsidRPr="00667E6C">
        <w:t>Lisa Zhang</w:t>
      </w:r>
      <w:r w:rsidRPr="00667E6C">
        <w:rPr>
          <w:vertAlign w:val="superscript"/>
        </w:rPr>
        <w:t>1</w:t>
      </w:r>
      <w:r w:rsidRPr="00667E6C">
        <w:t>,</w:t>
      </w:r>
      <w:r>
        <w:t xml:space="preserve"> Fanny Chen</w:t>
      </w:r>
      <w:r>
        <w:rPr>
          <w:vertAlign w:val="superscript"/>
        </w:rPr>
        <w:t>2</w:t>
      </w:r>
      <w:r>
        <w:t>, Phi</w:t>
      </w:r>
      <w:r w:rsidRPr="00667E6C">
        <w:t>lip Burnham</w:t>
      </w:r>
      <w:r w:rsidRPr="00667E6C">
        <w:rPr>
          <w:vertAlign w:val="superscript"/>
        </w:rPr>
        <w:t>2</w:t>
      </w:r>
      <w:r w:rsidRPr="00667E6C">
        <w:t xml:space="preserve">, </w:t>
      </w:r>
      <w:r>
        <w:t>Emmanuel Edusei</w:t>
      </w:r>
      <w:r w:rsidRPr="00667E6C">
        <w:rPr>
          <w:vertAlign w:val="superscript"/>
        </w:rPr>
        <w:t>1</w:t>
      </w:r>
      <w:r>
        <w:t>, Amanda Renaghan</w:t>
      </w:r>
      <w:r w:rsidRPr="00667E6C">
        <w:rPr>
          <w:vertAlign w:val="superscript"/>
        </w:rPr>
        <w:t>1</w:t>
      </w:r>
      <w:r>
        <w:t>, Susan Guo</w:t>
      </w:r>
      <w:r w:rsidRPr="00667E6C">
        <w:rPr>
          <w:vertAlign w:val="superscript"/>
        </w:rPr>
        <w:t>1</w:t>
      </w:r>
      <w:r>
        <w:t>, Shady Albakry</w:t>
      </w:r>
      <w:r w:rsidRPr="00667E6C">
        <w:rPr>
          <w:vertAlign w:val="superscript"/>
        </w:rPr>
        <w:t>1</w:t>
      </w:r>
      <w:r>
        <w:t>, Brittany Botticelli</w:t>
      </w:r>
      <w:r w:rsidRPr="00667E6C">
        <w:rPr>
          <w:vertAlign w:val="superscript"/>
        </w:rPr>
        <w:t>1</w:t>
      </w:r>
      <w:r>
        <w:t xml:space="preserve">, </w:t>
      </w:r>
      <w:proofErr w:type="spellStart"/>
      <w:r>
        <w:t>Vesh</w:t>
      </w:r>
      <w:proofErr w:type="spellEnd"/>
      <w:r>
        <w:t xml:space="preserve"> Srivatana</w:t>
      </w:r>
      <w:r>
        <w:rPr>
          <w:vertAlign w:val="superscript"/>
        </w:rPr>
        <w:t>3</w:t>
      </w:r>
      <w:r>
        <w:t>, Jeffrey Silberzweig</w:t>
      </w:r>
      <w:r>
        <w:rPr>
          <w:vertAlign w:val="superscript"/>
        </w:rPr>
        <w:t>3</w:t>
      </w:r>
      <w:r>
        <w:t>, Joshua Hayden</w:t>
      </w:r>
      <w:r w:rsidRPr="00667E6C">
        <w:rPr>
          <w:vertAlign w:val="superscript"/>
        </w:rPr>
        <w:t>1</w:t>
      </w:r>
      <w:r>
        <w:t xml:space="preserve">, </w:t>
      </w:r>
      <w:r w:rsidRPr="00667E6C">
        <w:t>Lars Westblade</w:t>
      </w:r>
      <w:r w:rsidRPr="00667E6C">
        <w:rPr>
          <w:vertAlign w:val="superscript"/>
        </w:rPr>
        <w:t>1</w:t>
      </w:r>
      <w:r w:rsidRPr="00667E6C">
        <w:t>, John Lee</w:t>
      </w:r>
      <w:r w:rsidRPr="00667E6C">
        <w:rPr>
          <w:vertAlign w:val="superscript"/>
        </w:rPr>
        <w:t>1</w:t>
      </w:r>
      <w:r w:rsidRPr="00667E6C">
        <w:t>(Research Mentor),</w:t>
      </w:r>
      <w:r w:rsidRPr="00667E6C">
        <w:rPr>
          <w:vertAlign w:val="superscript"/>
        </w:rPr>
        <w:t>1</w:t>
      </w:r>
      <w:r>
        <w:rPr>
          <w:vertAlign w:val="superscript"/>
        </w:rPr>
        <w:t xml:space="preserve"> </w:t>
      </w:r>
      <w:proofErr w:type="spellStart"/>
      <w:r>
        <w:t>Iwijn</w:t>
      </w:r>
      <w:proofErr w:type="spellEnd"/>
      <w:r>
        <w:t xml:space="preserve"> De Vlaminck</w:t>
      </w:r>
      <w:r>
        <w:rPr>
          <w:vertAlign w:val="superscript"/>
        </w:rPr>
        <w:t>2</w:t>
      </w:r>
      <w:r>
        <w:t xml:space="preserve"> </w:t>
      </w:r>
      <w:r>
        <w:rPr>
          <w:vertAlign w:val="superscript"/>
        </w:rPr>
        <w:t>1</w:t>
      </w:r>
      <w:r>
        <w:t>W</w:t>
      </w:r>
      <w:r w:rsidRPr="00667E6C">
        <w:t>eill Cornell,</w:t>
      </w:r>
      <w:r>
        <w:t xml:space="preserve"> </w:t>
      </w:r>
      <w:r w:rsidRPr="00667E6C">
        <w:t xml:space="preserve">NY </w:t>
      </w:r>
      <w:r w:rsidRPr="00667E6C">
        <w:rPr>
          <w:vertAlign w:val="superscript"/>
        </w:rPr>
        <w:t>2</w:t>
      </w:r>
      <w:r w:rsidRPr="00667E6C">
        <w:rPr>
          <w:color w:val="222222"/>
          <w:spacing w:val="3"/>
        </w:rPr>
        <w:t>Cornell University, NY</w:t>
      </w:r>
      <w:r>
        <w:rPr>
          <w:color w:val="222222"/>
          <w:spacing w:val="3"/>
        </w:rPr>
        <w:t xml:space="preserve"> </w:t>
      </w:r>
      <w:r>
        <w:rPr>
          <w:vertAlign w:val="superscript"/>
        </w:rPr>
        <w:t>3</w:t>
      </w:r>
      <w:r>
        <w:t xml:space="preserve"> </w:t>
      </w:r>
      <w:proofErr w:type="spellStart"/>
      <w:r>
        <w:t>Rogosin</w:t>
      </w:r>
      <w:proofErr w:type="spellEnd"/>
      <w:r>
        <w:t xml:space="preserve"> Institute NY </w:t>
      </w:r>
    </w:p>
    <w:p w14:paraId="0B46532D" w14:textId="16711A68" w:rsidR="00AB790B" w:rsidRDefault="00AB790B" w:rsidP="00AB790B">
      <w:pPr>
        <w:spacing w:after="0" w:line="240" w:lineRule="auto"/>
        <w:jc w:val="both"/>
        <w:rPr>
          <w:b/>
        </w:rPr>
      </w:pPr>
    </w:p>
    <w:p w14:paraId="05CB907A" w14:textId="4C3DBBE8" w:rsidR="00AB790B" w:rsidRDefault="002F0666" w:rsidP="00AB790B">
      <w:pPr>
        <w:spacing w:after="0" w:line="240" w:lineRule="auto"/>
        <w:jc w:val="both"/>
      </w:pPr>
      <w:r w:rsidRPr="00C8691F">
        <w:rPr>
          <w:b/>
        </w:rPr>
        <w:t>BACKGROUND</w:t>
      </w:r>
      <w:r w:rsidR="00AB790B">
        <w:rPr>
          <w:b/>
        </w:rPr>
        <w:t>:</w:t>
      </w:r>
      <w:r>
        <w:t xml:space="preserve"> Peritoneal dialysis (PD) is a lifesaving therapy for patients with end stage kidney disease</w:t>
      </w:r>
      <w:r w:rsidR="00AD2FA4">
        <w:t>,</w:t>
      </w:r>
      <w:r>
        <w:t xml:space="preserve"> but peritonitis, a frequent infectious complication, limits its efficacy. Although microbial culture of the peritoneal fluid is currently the definitive diagnostic approach, </w:t>
      </w:r>
      <w:r w:rsidR="00FC74D9">
        <w:t xml:space="preserve">in </w:t>
      </w:r>
      <w:r w:rsidRPr="00C8691F">
        <w:t>20%</w:t>
      </w:r>
      <w:r w:rsidR="00FC74D9">
        <w:t xml:space="preserve"> of suspected peritonitis cases</w:t>
      </w:r>
      <w:r w:rsidRPr="00C8691F">
        <w:t xml:space="preserve"> the causative organism cannot be identified. </w:t>
      </w:r>
      <w:r>
        <w:t>We investigated the utility of cell free DNA (</w:t>
      </w:r>
      <w:proofErr w:type="spellStart"/>
      <w:r>
        <w:t>cfDNA</w:t>
      </w:r>
      <w:proofErr w:type="spellEnd"/>
      <w:r>
        <w:t xml:space="preserve">) in peritoneal fluid as an </w:t>
      </w:r>
      <w:r w:rsidRPr="00FF4FF7">
        <w:t>alternative assay</w:t>
      </w:r>
      <w:r>
        <w:t xml:space="preserve"> to identify pathogens in peritonitis cases. </w:t>
      </w:r>
    </w:p>
    <w:p w14:paraId="536B52F2" w14:textId="77777777" w:rsidR="00AB790B" w:rsidRDefault="00AB790B" w:rsidP="00AB790B">
      <w:pPr>
        <w:spacing w:after="0" w:line="240" w:lineRule="auto"/>
        <w:jc w:val="both"/>
        <w:rPr>
          <w:b/>
        </w:rPr>
      </w:pPr>
    </w:p>
    <w:p w14:paraId="3183CD1C" w14:textId="2BC8A187" w:rsidR="00AB790B" w:rsidRDefault="002F0666" w:rsidP="00AB790B">
      <w:pPr>
        <w:spacing w:after="0" w:line="240" w:lineRule="auto"/>
        <w:jc w:val="both"/>
      </w:pPr>
      <w:r w:rsidRPr="00C8691F">
        <w:rPr>
          <w:b/>
        </w:rPr>
        <w:t>METHODS</w:t>
      </w:r>
      <w:r w:rsidR="00AB790B">
        <w:rPr>
          <w:b/>
        </w:rPr>
        <w:t>:</w:t>
      </w:r>
      <w:r w:rsidRPr="00C8691F">
        <w:t xml:space="preserve"> </w:t>
      </w:r>
      <w:r>
        <w:t xml:space="preserve">We recruited 27 PD patients:  10 patients developed culture positive peritonitis and provided 19 peritoneal fluid samples and 17 patients did not </w:t>
      </w:r>
      <w:r w:rsidR="00FC74D9">
        <w:t>develop</w:t>
      </w:r>
      <w:r>
        <w:t xml:space="preserve"> evidence </w:t>
      </w:r>
      <w:r w:rsidR="00FC74D9">
        <w:t xml:space="preserve">of </w:t>
      </w:r>
      <w:r>
        <w:t xml:space="preserve">confirmed peritonitis and provided 37 peritoneal fluid samples. </w:t>
      </w:r>
      <w:proofErr w:type="spellStart"/>
      <w:r w:rsidR="00FC74D9">
        <w:t>cf</w:t>
      </w:r>
      <w:r>
        <w:t>DNA</w:t>
      </w:r>
      <w:proofErr w:type="spellEnd"/>
      <w:r>
        <w:t xml:space="preserve"> was extracted from the peritoneal fluid samples and was sequenced using an Illumina </w:t>
      </w:r>
      <w:proofErr w:type="spellStart"/>
      <w:r>
        <w:t>NextSeq</w:t>
      </w:r>
      <w:proofErr w:type="spellEnd"/>
      <w:r>
        <w:t xml:space="preserve"> 500 platform using 2x75bp paired-end sequencing. Identification of microbial DNA was performed utilizing the maximum likelihood estimator of relative genomic abundance based on alignment of reads to an NCBI database of bacteria, fungus, and DNA virus genomes. </w:t>
      </w:r>
    </w:p>
    <w:p w14:paraId="19DB95C4" w14:textId="47CB64F1" w:rsidR="00AB790B" w:rsidRDefault="00AB790B" w:rsidP="00AB790B">
      <w:pPr>
        <w:spacing w:after="0" w:line="240" w:lineRule="auto"/>
        <w:jc w:val="both"/>
        <w:rPr>
          <w:b/>
        </w:rPr>
      </w:pPr>
    </w:p>
    <w:p w14:paraId="4D732CA9" w14:textId="31DF302E" w:rsidR="00AB790B" w:rsidRDefault="002F0666" w:rsidP="00AB790B">
      <w:pPr>
        <w:spacing w:after="0" w:line="240" w:lineRule="auto"/>
        <w:jc w:val="both"/>
      </w:pPr>
      <w:r w:rsidRPr="00C8691F">
        <w:rPr>
          <w:b/>
        </w:rPr>
        <w:t>RESULTS</w:t>
      </w:r>
      <w:r w:rsidR="00AB790B">
        <w:rPr>
          <w:b/>
        </w:rPr>
        <w:t>:</w:t>
      </w:r>
      <w:r w:rsidRPr="00C8691F">
        <w:t xml:space="preserve"> </w:t>
      </w:r>
      <w:r>
        <w:t xml:space="preserve">In the 10 patients with culture-positive peritonitis, </w:t>
      </w:r>
      <w:proofErr w:type="spellStart"/>
      <w:r>
        <w:t>cfDNA</w:t>
      </w:r>
      <w:proofErr w:type="spellEnd"/>
      <w:r>
        <w:t xml:space="preserve"> analysis found the suspected causative organism in all 10 patients (Fig. 1). In the 5 peritonitis patients who had follow-up samples after treatment, the abundance of the suspected organisms decreased after treatment (Fig. 1). Peritoneal fluid </w:t>
      </w:r>
      <w:proofErr w:type="spellStart"/>
      <w:r>
        <w:t>cfDNA</w:t>
      </w:r>
      <w:proofErr w:type="spellEnd"/>
      <w:r>
        <w:t xml:space="preserve"> identified a case of fungal </w:t>
      </w:r>
      <w:r>
        <w:rPr>
          <w:i/>
        </w:rPr>
        <w:t>C</w:t>
      </w:r>
      <w:r w:rsidRPr="0042318A">
        <w:rPr>
          <w:i/>
        </w:rPr>
        <w:t>andida</w:t>
      </w:r>
      <w:r>
        <w:t xml:space="preserve"> peritonitis, which was difficult to diagnose clinically, and in another case, peritoneal fluid </w:t>
      </w:r>
      <w:proofErr w:type="spellStart"/>
      <w:r>
        <w:t>cfDNA</w:t>
      </w:r>
      <w:proofErr w:type="spellEnd"/>
      <w:r>
        <w:t xml:space="preserve"> identified </w:t>
      </w:r>
      <w:r w:rsidRPr="0042318A">
        <w:rPr>
          <w:i/>
        </w:rPr>
        <w:t xml:space="preserve">Enterococcus faecium </w:t>
      </w:r>
      <w:r>
        <w:t xml:space="preserve">and </w:t>
      </w:r>
      <w:r w:rsidRPr="00897E89">
        <w:rPr>
          <w:i/>
        </w:rPr>
        <w:t xml:space="preserve">Parabacteroides </w:t>
      </w:r>
      <w:proofErr w:type="spellStart"/>
      <w:r w:rsidRPr="00897E89">
        <w:rPr>
          <w:i/>
        </w:rPr>
        <w:t>distasonis</w:t>
      </w:r>
      <w:proofErr w:type="spellEnd"/>
      <w:r>
        <w:t xml:space="preserve">, which was later confirmed to be the infectious cause for abdominal pain originating from a gallbladder infection. </w:t>
      </w:r>
    </w:p>
    <w:p w14:paraId="4B6F4CC8" w14:textId="086E6028" w:rsidR="00AB790B" w:rsidRDefault="00D35E9B" w:rsidP="00AB790B">
      <w:pPr>
        <w:spacing w:after="0" w:line="240" w:lineRule="auto"/>
        <w:jc w:val="both"/>
        <w:rPr>
          <w:b/>
        </w:rPr>
      </w:pPr>
      <w:r w:rsidRPr="007317D4">
        <w:rPr>
          <w:noProof/>
          <w:lang w:eastAsia="en-US"/>
        </w:rPr>
        <w:drawing>
          <wp:anchor distT="0" distB="0" distL="114300" distR="114300" simplePos="0" relativeHeight="251658240" behindDoc="1" locked="0" layoutInCell="1" allowOverlap="1" wp14:anchorId="52DABBC8" wp14:editId="29CF735E">
            <wp:simplePos x="0" y="0"/>
            <wp:positionH relativeFrom="column">
              <wp:posOffset>2286000</wp:posOffset>
            </wp:positionH>
            <wp:positionV relativeFrom="paragraph">
              <wp:posOffset>19050</wp:posOffset>
            </wp:positionV>
            <wp:extent cx="4577715" cy="3447415"/>
            <wp:effectExtent l="19050" t="19050" r="13335" b="19685"/>
            <wp:wrapTight wrapText="bothSides">
              <wp:wrapPolygon edited="0">
                <wp:start x="-90" y="-119"/>
                <wp:lineTo x="-90" y="21604"/>
                <wp:lineTo x="21573" y="21604"/>
                <wp:lineTo x="21573" y="-119"/>
                <wp:lineTo x="-90" y="-119"/>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4577715" cy="344741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89BC9E1" w14:textId="1BF45BB1" w:rsidR="002F0666" w:rsidRDefault="002F0666" w:rsidP="00AB790B">
      <w:pPr>
        <w:spacing w:after="0" w:line="240" w:lineRule="auto"/>
        <w:jc w:val="both"/>
      </w:pPr>
      <w:r w:rsidRPr="00C8691F">
        <w:rPr>
          <w:b/>
        </w:rPr>
        <w:t>CONCLUSIONS</w:t>
      </w:r>
      <w:r w:rsidR="00AB790B">
        <w:rPr>
          <w:b/>
        </w:rPr>
        <w:t>:</w:t>
      </w:r>
      <w:r w:rsidRPr="00C8691F">
        <w:t xml:space="preserve"> </w:t>
      </w:r>
      <w:r>
        <w:t xml:space="preserve">Peritoneal fluid </w:t>
      </w:r>
      <w:proofErr w:type="spellStart"/>
      <w:r>
        <w:t>cfDNA</w:t>
      </w:r>
      <w:proofErr w:type="spellEnd"/>
      <w:r>
        <w:t xml:space="preserve"> sequencing can detect infections in peritoneal dialysis patients and support future studies of this technique in the subset of culture negative peritonitis. </w:t>
      </w:r>
    </w:p>
    <w:p w14:paraId="6150AD13" w14:textId="0E2AD91B" w:rsidR="002F0666" w:rsidRDefault="002F0666" w:rsidP="00AB790B">
      <w:pPr>
        <w:spacing w:after="0" w:line="240" w:lineRule="auto"/>
        <w:jc w:val="both"/>
      </w:pPr>
    </w:p>
    <w:p w14:paraId="52F7600D" w14:textId="53409323" w:rsidR="002F0666" w:rsidRPr="00C8691F" w:rsidRDefault="002F0666" w:rsidP="00AB790B">
      <w:pPr>
        <w:spacing w:after="0" w:line="240" w:lineRule="auto"/>
        <w:outlineLvl w:val="0"/>
      </w:pPr>
      <w:r w:rsidRPr="00C8691F">
        <w:rPr>
          <w:b/>
        </w:rPr>
        <w:t>CONTENT CATEGORY:</w:t>
      </w:r>
      <w:r>
        <w:rPr>
          <w:b/>
        </w:rPr>
        <w:t xml:space="preserve"> </w:t>
      </w:r>
      <w:r>
        <w:t>transitional science</w:t>
      </w:r>
    </w:p>
    <w:p w14:paraId="087B6343" w14:textId="69FA64B5" w:rsidR="00AB790B" w:rsidRDefault="00AB790B" w:rsidP="00AB790B">
      <w:pPr>
        <w:spacing w:after="0" w:line="240" w:lineRule="auto"/>
        <w:rPr>
          <w:b/>
        </w:rPr>
      </w:pPr>
    </w:p>
    <w:p w14:paraId="772CBBD8" w14:textId="58452A6D" w:rsidR="002F0666" w:rsidRDefault="002F0666" w:rsidP="00AB790B">
      <w:pPr>
        <w:spacing w:after="0" w:line="240" w:lineRule="auto"/>
        <w:rPr>
          <w:i/>
        </w:rPr>
      </w:pPr>
      <w:r w:rsidRPr="009002CA">
        <w:rPr>
          <w:b/>
        </w:rPr>
        <w:t>KEYWORDS:</w:t>
      </w:r>
      <w:r>
        <w:rPr>
          <w:b/>
        </w:rPr>
        <w:t xml:space="preserve"> </w:t>
      </w:r>
      <w:r w:rsidRPr="00C8691F">
        <w:rPr>
          <w:i/>
        </w:rPr>
        <w:t>cell-free DNA, microbiota, peritoneal dialys</w:t>
      </w:r>
      <w:r>
        <w:rPr>
          <w:i/>
        </w:rPr>
        <w:t>is, peritonitis</w:t>
      </w:r>
    </w:p>
    <w:p w14:paraId="0A2F479B" w14:textId="7679F378" w:rsidR="002F0666" w:rsidRPr="0035072C" w:rsidRDefault="002F0666" w:rsidP="00AB790B">
      <w:pPr>
        <w:spacing w:after="0" w:line="240" w:lineRule="auto"/>
        <w:jc w:val="both"/>
        <w:rPr>
          <w:i/>
        </w:rPr>
      </w:pPr>
    </w:p>
    <w:p w14:paraId="507A4ECD" w14:textId="70798BBC" w:rsidR="00DA5216" w:rsidRPr="002F0666" w:rsidRDefault="00D35E9B" w:rsidP="00AB790B">
      <w:pPr>
        <w:spacing w:after="0" w:line="240" w:lineRule="auto"/>
        <w:jc w:val="both"/>
      </w:pPr>
      <w:bookmarkStart w:id="0" w:name="_GoBack"/>
      <w:bookmarkEnd w:id="0"/>
      <w:r>
        <w:rPr>
          <w:noProof/>
        </w:rPr>
        <mc:AlternateContent>
          <mc:Choice Requires="wps">
            <w:drawing>
              <wp:anchor distT="45720" distB="45720" distL="114300" distR="114300" simplePos="0" relativeHeight="251657215" behindDoc="0" locked="0" layoutInCell="1" allowOverlap="1" wp14:anchorId="76832BA0" wp14:editId="4393821B">
                <wp:simplePos x="0" y="0"/>
                <wp:positionH relativeFrom="column">
                  <wp:posOffset>2209800</wp:posOffset>
                </wp:positionH>
                <wp:positionV relativeFrom="paragraph">
                  <wp:posOffset>784225</wp:posOffset>
                </wp:positionV>
                <wp:extent cx="904875" cy="2667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266700"/>
                        </a:xfrm>
                        <a:prstGeom prst="rect">
                          <a:avLst/>
                        </a:prstGeom>
                        <a:solidFill>
                          <a:srgbClr val="FFFFFF"/>
                        </a:solidFill>
                        <a:ln w="9525">
                          <a:noFill/>
                          <a:miter lim="800000"/>
                          <a:headEnd/>
                          <a:tailEnd/>
                        </a:ln>
                      </wps:spPr>
                      <wps:txbx>
                        <w:txbxContent>
                          <w:p w14:paraId="14D27D2D" w14:textId="4D37733C" w:rsidR="00D35E9B" w:rsidRPr="00DC5D14" w:rsidRDefault="00D35E9B" w:rsidP="00D35E9B">
                            <w:pPr>
                              <w:spacing w:after="0" w:line="240" w:lineRule="auto"/>
                              <w:jc w:val="both"/>
                              <w:rPr>
                                <w:b/>
                                <w:color w:val="FFFFFF" w:themeColor="background1"/>
                                <w:sz w:val="20"/>
                                <w14:textFill>
                                  <w14:noFill/>
                                </w14:textFill>
                              </w:rPr>
                            </w:pPr>
                            <w:r w:rsidRPr="00DC5D14">
                              <w:rPr>
                                <w:b/>
                                <w:sz w:val="20"/>
                              </w:rPr>
                              <w:t>Figure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832BA0" id="_x0000_t202" coordsize="21600,21600" o:spt="202" path="m,l,21600r21600,l21600,xe">
                <v:stroke joinstyle="miter"/>
                <v:path gradientshapeok="t" o:connecttype="rect"/>
              </v:shapetype>
              <v:shape id="Text Box 2" o:spid="_x0000_s1026" type="#_x0000_t202" style="position:absolute;left:0;text-align:left;margin-left:174pt;margin-top:61.75pt;width:71.25pt;height:21pt;z-index:25165721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" stroked="f">
                <v:textbox>
                  <w:txbxContent>
                    <w:p w14:paraId="14D27D2D" w14:textId="4D37733C" w:rsidR="00D35E9B" w:rsidRPr="00DC5D14" w:rsidRDefault="00D35E9B" w:rsidP="00D35E9B">
                      <w:pPr>
                        <w:spacing w:after="0" w:line="240" w:lineRule="auto"/>
                        <w:jc w:val="both"/>
                        <w:rPr>
                          <w:b/>
                          <w:color w:val="FFFFFF" w:themeColor="background1"/>
                          <w:sz w:val="20"/>
                          <w14:textFill>
                            <w14:noFill/>
                          </w14:textFill>
                        </w:rPr>
                      </w:pPr>
                      <w:r w:rsidRPr="00DC5D14">
                        <w:rPr>
                          <w:b/>
                          <w:sz w:val="20"/>
                        </w:rPr>
                        <w:t>Figure 1</w:t>
                      </w:r>
                    </w:p>
                  </w:txbxContent>
                </v:textbox>
                <w10:wrap type="square"/>
              </v:shape>
            </w:pict>
          </mc:Fallback>
        </mc:AlternateContent>
      </w:r>
    </w:p>
    <w:sectPr w:rsidR="00DA5216" w:rsidRPr="002F0666" w:rsidSect="00AB790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37436F4"/>
    <w:multiLevelType w:val="multilevel"/>
    <w:tmpl w:val="EE0E3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461E"/>
    <w:rsid w:val="000040C6"/>
    <w:rsid w:val="00006C7A"/>
    <w:rsid w:val="00036E47"/>
    <w:rsid w:val="000446EB"/>
    <w:rsid w:val="001158BC"/>
    <w:rsid w:val="0013132E"/>
    <w:rsid w:val="001345D9"/>
    <w:rsid w:val="001700A6"/>
    <w:rsid w:val="001A1FB9"/>
    <w:rsid w:val="001B2386"/>
    <w:rsid w:val="001C4C1B"/>
    <w:rsid w:val="001C71FC"/>
    <w:rsid w:val="001D1D5D"/>
    <w:rsid w:val="0022076D"/>
    <w:rsid w:val="00224456"/>
    <w:rsid w:val="00225738"/>
    <w:rsid w:val="002536A5"/>
    <w:rsid w:val="00272169"/>
    <w:rsid w:val="00274485"/>
    <w:rsid w:val="002D5310"/>
    <w:rsid w:val="002F0666"/>
    <w:rsid w:val="00300DE7"/>
    <w:rsid w:val="0035072C"/>
    <w:rsid w:val="0036463D"/>
    <w:rsid w:val="003922FE"/>
    <w:rsid w:val="0042318A"/>
    <w:rsid w:val="00446AB1"/>
    <w:rsid w:val="004626D0"/>
    <w:rsid w:val="004B79BC"/>
    <w:rsid w:val="004C3CF9"/>
    <w:rsid w:val="005E1631"/>
    <w:rsid w:val="005F3B15"/>
    <w:rsid w:val="006535FC"/>
    <w:rsid w:val="00653637"/>
    <w:rsid w:val="00667E6C"/>
    <w:rsid w:val="007317D4"/>
    <w:rsid w:val="007613CE"/>
    <w:rsid w:val="007978AC"/>
    <w:rsid w:val="007B38DD"/>
    <w:rsid w:val="007D3C67"/>
    <w:rsid w:val="00831493"/>
    <w:rsid w:val="008368A8"/>
    <w:rsid w:val="00897E89"/>
    <w:rsid w:val="009002CA"/>
    <w:rsid w:val="00924A31"/>
    <w:rsid w:val="00947D42"/>
    <w:rsid w:val="00956CA3"/>
    <w:rsid w:val="00A13985"/>
    <w:rsid w:val="00A92D8F"/>
    <w:rsid w:val="00AA78E6"/>
    <w:rsid w:val="00AB0640"/>
    <w:rsid w:val="00AB790B"/>
    <w:rsid w:val="00AD2FA4"/>
    <w:rsid w:val="00B116B6"/>
    <w:rsid w:val="00B15B9E"/>
    <w:rsid w:val="00B235C4"/>
    <w:rsid w:val="00B26237"/>
    <w:rsid w:val="00B55FFC"/>
    <w:rsid w:val="00BB55DE"/>
    <w:rsid w:val="00BE461E"/>
    <w:rsid w:val="00C105E4"/>
    <w:rsid w:val="00C26FFB"/>
    <w:rsid w:val="00C8691F"/>
    <w:rsid w:val="00CB766C"/>
    <w:rsid w:val="00D35E9B"/>
    <w:rsid w:val="00D5637E"/>
    <w:rsid w:val="00DA5216"/>
    <w:rsid w:val="00DC10E9"/>
    <w:rsid w:val="00DC5D14"/>
    <w:rsid w:val="00E84C71"/>
    <w:rsid w:val="00E961EB"/>
    <w:rsid w:val="00ED312F"/>
    <w:rsid w:val="00FC74D9"/>
    <w:rsid w:val="00FD2F8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7E7FAD"/>
  <w15:docId w15:val="{91757212-88C9-4945-8D84-A9535B2DD8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sz w:val="24"/>
        <w:szCs w:val="24"/>
        <w:lang w:val="en-US" w:eastAsia="zh-TW"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E461E"/>
    <w:rPr>
      <w:color w:val="808080"/>
    </w:rPr>
  </w:style>
  <w:style w:type="paragraph" w:styleId="BalloonText">
    <w:name w:val="Balloon Text"/>
    <w:basedOn w:val="Normal"/>
    <w:link w:val="BalloonTextChar"/>
    <w:uiPriority w:val="99"/>
    <w:semiHidden/>
    <w:unhideWhenUsed/>
    <w:rsid w:val="00BE46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461E"/>
    <w:rPr>
      <w:rFonts w:ascii="Tahoma" w:hAnsi="Tahoma" w:cs="Tahoma"/>
      <w:sz w:val="16"/>
      <w:szCs w:val="16"/>
    </w:rPr>
  </w:style>
  <w:style w:type="paragraph" w:customStyle="1" w:styleId="tiny-space-below">
    <w:name w:val="tiny-space-below"/>
    <w:basedOn w:val="Normal"/>
    <w:rsid w:val="00667E6C"/>
    <w:pPr>
      <w:spacing w:before="100" w:beforeAutospacing="1" w:after="100" w:afterAutospacing="1" w:line="240" w:lineRule="auto"/>
    </w:pPr>
    <w:rPr>
      <w:rFonts w:eastAsia="Times New Roman"/>
      <w:lang w:eastAsia="zh-CN"/>
    </w:rPr>
  </w:style>
  <w:style w:type="paragraph" w:styleId="Revision">
    <w:name w:val="Revision"/>
    <w:hidden/>
    <w:uiPriority w:val="99"/>
    <w:semiHidden/>
    <w:rsid w:val="009002C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4451773">
      <w:bodyDiv w:val="1"/>
      <w:marLeft w:val="0"/>
      <w:marRight w:val="0"/>
      <w:marTop w:val="0"/>
      <w:marBottom w:val="0"/>
      <w:divBdr>
        <w:top w:val="none" w:sz="0" w:space="0" w:color="auto"/>
        <w:left w:val="none" w:sz="0" w:space="0" w:color="auto"/>
        <w:bottom w:val="none" w:sz="0" w:space="0" w:color="auto"/>
        <w:right w:val="none" w:sz="0" w:space="0" w:color="auto"/>
      </w:divBdr>
    </w:div>
    <w:div w:id="754976908">
      <w:bodyDiv w:val="1"/>
      <w:marLeft w:val="0"/>
      <w:marRight w:val="0"/>
      <w:marTop w:val="0"/>
      <w:marBottom w:val="0"/>
      <w:divBdr>
        <w:top w:val="none" w:sz="0" w:space="0" w:color="auto"/>
        <w:left w:val="none" w:sz="0" w:space="0" w:color="auto"/>
        <w:bottom w:val="none" w:sz="0" w:space="0" w:color="auto"/>
        <w:right w:val="none" w:sz="0" w:space="0" w:color="auto"/>
      </w:divBdr>
    </w:div>
    <w:div w:id="1322663203">
      <w:bodyDiv w:val="1"/>
      <w:marLeft w:val="0"/>
      <w:marRight w:val="0"/>
      <w:marTop w:val="0"/>
      <w:marBottom w:val="0"/>
      <w:divBdr>
        <w:top w:val="none" w:sz="0" w:space="0" w:color="auto"/>
        <w:left w:val="none" w:sz="0" w:space="0" w:color="auto"/>
        <w:bottom w:val="none" w:sz="0" w:space="0" w:color="auto"/>
        <w:right w:val="none" w:sz="0" w:space="0" w:color="auto"/>
      </w:divBdr>
    </w:div>
    <w:div w:id="1404453932">
      <w:bodyDiv w:val="1"/>
      <w:marLeft w:val="0"/>
      <w:marRight w:val="0"/>
      <w:marTop w:val="0"/>
      <w:marBottom w:val="0"/>
      <w:divBdr>
        <w:top w:val="none" w:sz="0" w:space="0" w:color="auto"/>
        <w:left w:val="none" w:sz="0" w:space="0" w:color="auto"/>
        <w:bottom w:val="none" w:sz="0" w:space="0" w:color="auto"/>
        <w:right w:val="none" w:sz="0" w:space="0" w:color="auto"/>
      </w:divBdr>
    </w:div>
    <w:div w:id="1774981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3D212F-C97B-4AB9-A6F7-039835D1D3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538</TotalTime>
  <Pages>1</Pages>
  <Words>376</Words>
  <Characters>2148</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JLove</dc:creator>
  <cp:lastModifiedBy>J Li</cp:lastModifiedBy>
  <cp:revision>23</cp:revision>
  <dcterms:created xsi:type="dcterms:W3CDTF">2018-08-13T01:04:00Z</dcterms:created>
  <dcterms:modified xsi:type="dcterms:W3CDTF">2018-10-25T16:41:00Z</dcterms:modified>
</cp:coreProperties>
</file>