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E285" w14:textId="00C70659" w:rsidR="006E7087" w:rsidRDefault="006E7087" w:rsidP="00A778E6">
      <w:pPr>
        <w:spacing w:after="0" w:line="240" w:lineRule="auto"/>
        <w:jc w:val="both"/>
        <w:rPr>
          <w:b/>
        </w:rPr>
      </w:pPr>
    </w:p>
    <w:p w14:paraId="6E4B3AE1" w14:textId="571EAC92" w:rsidR="00203B8D" w:rsidRDefault="00203B8D" w:rsidP="00A778E6">
      <w:pPr>
        <w:spacing w:after="0" w:line="240" w:lineRule="auto"/>
        <w:jc w:val="both"/>
        <w:rPr>
          <w:b/>
        </w:rPr>
      </w:pPr>
    </w:p>
    <w:p w14:paraId="4ECF3288" w14:textId="77777777" w:rsidR="00203B8D" w:rsidRDefault="00203B8D" w:rsidP="00A778E6">
      <w:pPr>
        <w:spacing w:after="0" w:line="240" w:lineRule="auto"/>
        <w:jc w:val="both"/>
        <w:rPr>
          <w:b/>
        </w:rPr>
      </w:pPr>
      <w:bookmarkStart w:id="0" w:name="_GoBack"/>
      <w:bookmarkEnd w:id="0"/>
    </w:p>
    <w:p w14:paraId="2F4787AB" w14:textId="77777777" w:rsidR="00F53F74" w:rsidRDefault="00F53F74" w:rsidP="00A778E6">
      <w:pPr>
        <w:spacing w:after="0" w:line="240" w:lineRule="auto"/>
        <w:jc w:val="both"/>
        <w:rPr>
          <w:b/>
        </w:rPr>
      </w:pPr>
    </w:p>
    <w:p w14:paraId="23FA3E66" w14:textId="155C95CF" w:rsidR="000446EB" w:rsidRPr="002402B9" w:rsidRDefault="00EC0AC3" w:rsidP="00A778E6">
      <w:pPr>
        <w:spacing w:after="0" w:line="240" w:lineRule="auto"/>
        <w:jc w:val="both"/>
        <w:rPr>
          <w:b/>
        </w:rPr>
      </w:pPr>
      <w:r w:rsidRPr="002402B9">
        <w:rPr>
          <w:b/>
        </w:rPr>
        <w:t>CORRELATION OF STEADY-STATE PATTERN ELECTRORETINOGRAM AND HUMPHREY VISUAL FIELD IN GLAUCOMA SUSPECT PATIENTS</w:t>
      </w:r>
    </w:p>
    <w:p w14:paraId="2EAD318B" w14:textId="77777777" w:rsidR="006F43A0" w:rsidRDefault="006F43A0" w:rsidP="00A778E6">
      <w:pPr>
        <w:spacing w:after="0" w:line="240" w:lineRule="auto"/>
        <w:jc w:val="both"/>
      </w:pPr>
    </w:p>
    <w:p w14:paraId="601F089B" w14:textId="20C8FD2F" w:rsidR="00BE461E" w:rsidRDefault="00EC0AC3" w:rsidP="00A778E6">
      <w:pPr>
        <w:spacing w:after="0" w:line="240" w:lineRule="auto"/>
        <w:jc w:val="both"/>
        <w:rPr>
          <w:vertAlign w:val="superscript"/>
        </w:rPr>
      </w:pPr>
      <w:r>
        <w:t xml:space="preserve">Benny </w:t>
      </w:r>
      <w:proofErr w:type="spellStart"/>
      <w:r>
        <w:t>Yiu</w:t>
      </w:r>
      <w:proofErr w:type="spellEnd"/>
      <w:r>
        <w:t xml:space="preserve"> Wong</w:t>
      </w:r>
      <w:r>
        <w:rPr>
          <w:vertAlign w:val="superscript"/>
        </w:rPr>
        <w:t>1</w:t>
      </w:r>
      <w:r>
        <w:t xml:space="preserve">, Andrew </w:t>
      </w:r>
      <w:proofErr w:type="spellStart"/>
      <w:r>
        <w:t>Tirsi</w:t>
      </w:r>
      <w:proofErr w:type="spellEnd"/>
      <w:r>
        <w:t xml:space="preserve"> MD</w:t>
      </w:r>
      <w:r>
        <w:rPr>
          <w:vertAlign w:val="superscript"/>
        </w:rPr>
        <w:t>1</w:t>
      </w:r>
      <w:r>
        <w:t>, Jung M Lee MD</w:t>
      </w:r>
      <w:r>
        <w:rPr>
          <w:vertAlign w:val="superscript"/>
        </w:rPr>
        <w:t>1</w:t>
      </w:r>
      <w:r>
        <w:t xml:space="preserve">, Sung </w:t>
      </w:r>
      <w:proofErr w:type="spellStart"/>
      <w:r>
        <w:t>Chul</w:t>
      </w:r>
      <w:proofErr w:type="spellEnd"/>
      <w:r>
        <w:t xml:space="preserve"> Park MD</w:t>
      </w:r>
      <w:r>
        <w:rPr>
          <w:vertAlign w:val="superscript"/>
        </w:rPr>
        <w:t>1,2</w:t>
      </w:r>
      <w:r>
        <w:t>, Celso Tello MD</w:t>
      </w:r>
      <w:r>
        <w:rPr>
          <w:vertAlign w:val="superscript"/>
        </w:rPr>
        <w:t>1,2</w:t>
      </w:r>
    </w:p>
    <w:p w14:paraId="07164926" w14:textId="77777777" w:rsidR="006F43A0" w:rsidRDefault="006F43A0" w:rsidP="00A778E6">
      <w:pPr>
        <w:spacing w:after="0" w:line="240" w:lineRule="auto"/>
        <w:jc w:val="both"/>
        <w:rPr>
          <w:vertAlign w:val="superscript"/>
        </w:rPr>
      </w:pPr>
    </w:p>
    <w:p w14:paraId="74D1F326" w14:textId="4BF387B7" w:rsidR="007D4B2E" w:rsidRDefault="007D4B2E" w:rsidP="00A778E6">
      <w:pPr>
        <w:spacing w:after="0" w:line="240" w:lineRule="auto"/>
        <w:jc w:val="both"/>
      </w:pPr>
      <w:r>
        <w:rPr>
          <w:vertAlign w:val="superscript"/>
        </w:rPr>
        <w:t>1</w:t>
      </w:r>
      <w:r w:rsidR="00CC4B18">
        <w:t>Department of Ophthalmology, Manhattan Eye, Ear &amp; Throat Hospital, New York, NY</w:t>
      </w:r>
    </w:p>
    <w:p w14:paraId="271FBAE6" w14:textId="326DEF76" w:rsidR="00EC0AC3" w:rsidRDefault="00CC4B18" w:rsidP="00A778E6">
      <w:pPr>
        <w:spacing w:after="0" w:line="240" w:lineRule="auto"/>
        <w:jc w:val="both"/>
      </w:pPr>
      <w:r>
        <w:rPr>
          <w:vertAlign w:val="superscript"/>
        </w:rPr>
        <w:t>2</w:t>
      </w:r>
      <w:r>
        <w:t xml:space="preserve">Department of Ophthalmology, </w:t>
      </w:r>
      <w:r w:rsidR="00D840BF">
        <w:t xml:space="preserve">Donald and Barbara Zucker </w:t>
      </w:r>
      <w:r>
        <w:t>School of Medicine</w:t>
      </w:r>
      <w:r w:rsidR="00D840BF">
        <w:t xml:space="preserve"> at Hofstra Northwell</w:t>
      </w:r>
      <w:r>
        <w:t>, Hempstead, NY</w:t>
      </w:r>
    </w:p>
    <w:p w14:paraId="7D00D9B8" w14:textId="77777777" w:rsidR="006F43A0" w:rsidRDefault="006F43A0" w:rsidP="00A778E6">
      <w:pPr>
        <w:spacing w:after="0" w:line="240" w:lineRule="auto"/>
        <w:jc w:val="both"/>
      </w:pPr>
    </w:p>
    <w:p w14:paraId="50646B06" w14:textId="124BFE82" w:rsidR="00B0433E" w:rsidRDefault="00B0433E" w:rsidP="00A778E6">
      <w:pPr>
        <w:spacing w:after="0" w:line="240" w:lineRule="auto"/>
        <w:jc w:val="both"/>
      </w:pPr>
      <w:r>
        <w:t>Manhattan Eye, Ear &amp; Throat Hospital</w:t>
      </w:r>
    </w:p>
    <w:p w14:paraId="376AABC2" w14:textId="662746BA" w:rsidR="00B0433E" w:rsidRPr="00EC0AC3" w:rsidRDefault="00B0433E" w:rsidP="00A778E6">
      <w:pPr>
        <w:spacing w:after="0" w:line="240" w:lineRule="auto"/>
        <w:jc w:val="both"/>
      </w:pPr>
      <w:r>
        <w:t>210 East 64</w:t>
      </w:r>
      <w:r w:rsidRPr="00B0433E">
        <w:rPr>
          <w:vertAlign w:val="superscript"/>
        </w:rPr>
        <w:t>th</w:t>
      </w:r>
      <w:r>
        <w:t xml:space="preserve"> St New York, NY 10065</w:t>
      </w:r>
    </w:p>
    <w:p w14:paraId="58AA536B" w14:textId="77777777" w:rsidR="00E977FA" w:rsidRDefault="00E977FA" w:rsidP="00A778E6">
      <w:pPr>
        <w:spacing w:after="0" w:line="240" w:lineRule="auto"/>
        <w:jc w:val="both"/>
        <w:rPr>
          <w:b/>
        </w:rPr>
      </w:pPr>
    </w:p>
    <w:p w14:paraId="2F6A6170" w14:textId="6563D274" w:rsidR="00BE461E" w:rsidRDefault="00BE461E" w:rsidP="00A778E6">
      <w:pPr>
        <w:spacing w:after="0" w:line="240" w:lineRule="auto"/>
        <w:jc w:val="both"/>
      </w:pPr>
      <w:r w:rsidRPr="001B2386">
        <w:rPr>
          <w:b/>
        </w:rPr>
        <w:t>BACKGROUND:</w:t>
      </w:r>
      <w:r>
        <w:t xml:space="preserve"> </w:t>
      </w:r>
      <w:r w:rsidR="00B36EC2">
        <w:t xml:space="preserve">Glaucoma is the second leading cause of blindness worldwide. The evaluation of the visual pathway relies on the subjective visual field (VF) assessment. Studies have shown that in early glaucoma, </w:t>
      </w:r>
      <w:r w:rsidR="00E7601F">
        <w:t>up to 3</w:t>
      </w:r>
      <w:r w:rsidR="00B36EC2">
        <w:t>5% of retinal ganglion cells are lost before the first visual field de</w:t>
      </w:r>
      <w:r w:rsidR="00E7601F">
        <w:t>f</w:t>
      </w:r>
      <w:r w:rsidR="00B36EC2">
        <w:t xml:space="preserve">ects manifest. The subjective nature of VF administration and the necessity of implementing a new diagnostic test of the absolute beginning of glaucomatous damage have led to </w:t>
      </w:r>
      <w:r w:rsidR="00E7601F">
        <w:t xml:space="preserve">a growing </w:t>
      </w:r>
      <w:r w:rsidR="00B36EC2">
        <w:t xml:space="preserve">interest in alternative, objective information provided by electrophysiological studies. Electrophysiological techniques can play a valuable complementary role in the screening </w:t>
      </w:r>
      <w:r w:rsidR="00E7601F">
        <w:t>of</w:t>
      </w:r>
      <w:r w:rsidR="00B36EC2">
        <w:t xml:space="preserve"> early glaucoma in an objective functional manner. The purpose of this study was t</w:t>
      </w:r>
      <w:r w:rsidR="00CC4B18" w:rsidRPr="00CC4B18">
        <w:t>o assess the relationship bet</w:t>
      </w:r>
      <w:r w:rsidR="00E7601F">
        <w:t>ween Humphrey visual field values</w:t>
      </w:r>
      <w:r w:rsidR="00CC4B18" w:rsidRPr="00CC4B18">
        <w:t xml:space="preserve"> </w:t>
      </w:r>
      <w:r w:rsidR="00E7601F">
        <w:t>(</w:t>
      </w:r>
      <w:proofErr w:type="spellStart"/>
      <w:r w:rsidR="00E7601F">
        <w:t>HVF</w:t>
      </w:r>
      <w:proofErr w:type="spellEnd"/>
      <w:r w:rsidR="00E7601F">
        <w:t xml:space="preserve">) </w:t>
      </w:r>
      <w:r w:rsidR="00CC4B18" w:rsidRPr="00CC4B18">
        <w:t xml:space="preserve">and steady-state pattern electroretinography </w:t>
      </w:r>
      <w:r w:rsidR="00E7601F">
        <w:t xml:space="preserve">parameters </w:t>
      </w:r>
      <w:r w:rsidR="00CC4B18" w:rsidRPr="00CC4B18">
        <w:t>(</w:t>
      </w:r>
      <w:proofErr w:type="spellStart"/>
      <w:r w:rsidR="00CC4B18" w:rsidRPr="00CC4B18">
        <w:t>PERG</w:t>
      </w:r>
      <w:proofErr w:type="spellEnd"/>
      <w:r w:rsidR="00CC4B18" w:rsidRPr="00CC4B18">
        <w:t>) in glaucoma suspects.</w:t>
      </w:r>
    </w:p>
    <w:p w14:paraId="194F04D8" w14:textId="77777777" w:rsidR="00E977FA" w:rsidRDefault="00E977FA" w:rsidP="00A778E6">
      <w:pPr>
        <w:spacing w:after="0" w:line="240" w:lineRule="auto"/>
        <w:jc w:val="both"/>
        <w:rPr>
          <w:b/>
        </w:rPr>
      </w:pPr>
    </w:p>
    <w:p w14:paraId="7C9E6086" w14:textId="68346DF9" w:rsidR="00BE461E" w:rsidRDefault="00BE461E" w:rsidP="00A778E6">
      <w:pPr>
        <w:spacing w:after="0" w:line="240" w:lineRule="auto"/>
        <w:jc w:val="both"/>
      </w:pPr>
      <w:r w:rsidRPr="001B2386">
        <w:rPr>
          <w:b/>
        </w:rPr>
        <w:t>METHODS:</w:t>
      </w:r>
      <w:r w:rsidR="000446EB">
        <w:t xml:space="preserve"> </w:t>
      </w:r>
      <w:r w:rsidR="00FC4B50">
        <w:t xml:space="preserve">Glaucoma suspect patients were enrolled from the Manhattan Eye Ear and Throat Hospital. </w:t>
      </w:r>
      <w:r w:rsidR="00E0390F">
        <w:t xml:space="preserve">Inclusion criteria were best-corrected visual acuity 20/40 or better, spherical refractive error between –6 and +6 diopters, cylindrical refractive error less than 3 diopters, intraocular pressure between 10 and 21mmHg, suspicious glaucomatous optic disc appearance (increased cup to disc ratio, </w:t>
      </w:r>
      <w:proofErr w:type="spellStart"/>
      <w:r w:rsidR="00E0390F">
        <w:t>neuroretinal</w:t>
      </w:r>
      <w:proofErr w:type="spellEnd"/>
      <w:r w:rsidR="00E0390F">
        <w:t xml:space="preserve"> rim thinning, and/or disc hemorrhage), and no intraocular pressure lowering treatment. </w:t>
      </w:r>
      <w:r w:rsidR="00CC4B18" w:rsidRPr="00CC4B18">
        <w:t xml:space="preserve">Visual field (VF) 24-2 and 10-2 </w:t>
      </w:r>
      <w:r w:rsidR="006F43A0">
        <w:t>Swedish Interactive Threshold Algorithm (SITA)</w:t>
      </w:r>
      <w:r w:rsidR="00CC4B18" w:rsidRPr="00CC4B18">
        <w:t xml:space="preserve">-Standard, and </w:t>
      </w:r>
      <w:proofErr w:type="spellStart"/>
      <w:r w:rsidR="00CC4B18" w:rsidRPr="00CC4B18">
        <w:t>Diopsys</w:t>
      </w:r>
      <w:proofErr w:type="spellEnd"/>
      <w:r w:rsidR="00CC4B18" w:rsidRPr="00CC4B18">
        <w:t xml:space="preserve"> steady state </w:t>
      </w:r>
      <w:proofErr w:type="spellStart"/>
      <w:r w:rsidR="00CC4B18" w:rsidRPr="00CC4B18">
        <w:t>PERG</w:t>
      </w:r>
      <w:proofErr w:type="spellEnd"/>
      <w:r w:rsidR="00CC4B18" w:rsidRPr="00CC4B18">
        <w:t xml:space="preserve"> with contrast sensitivity</w:t>
      </w:r>
      <w:r w:rsidR="006F43A0">
        <w:t xml:space="preserve"> </w:t>
      </w:r>
      <w:r w:rsidR="00CC4B18" w:rsidRPr="00CC4B18">
        <w:t>(CS) and concentric stimulus field</w:t>
      </w:r>
      <w:r w:rsidR="006F43A0">
        <w:t xml:space="preserve"> </w:t>
      </w:r>
      <w:r w:rsidR="00CC4B18" w:rsidRPr="00CC4B18">
        <w:t>(CSF) protocol were performed in 24 patients with 47 eyes.</w:t>
      </w:r>
    </w:p>
    <w:p w14:paraId="07798533" w14:textId="77777777" w:rsidR="00E977FA" w:rsidRDefault="00E977FA" w:rsidP="00A778E6">
      <w:pPr>
        <w:spacing w:after="0" w:line="240" w:lineRule="auto"/>
        <w:jc w:val="both"/>
        <w:rPr>
          <w:b/>
        </w:rPr>
      </w:pPr>
    </w:p>
    <w:p w14:paraId="441F56F4" w14:textId="61BC4D6D" w:rsidR="00BE461E" w:rsidRPr="004420B7" w:rsidRDefault="00BE461E" w:rsidP="00A778E6">
      <w:pPr>
        <w:spacing w:after="0" w:line="240" w:lineRule="auto"/>
        <w:jc w:val="both"/>
        <w:rPr>
          <w:rFonts w:eastAsia="Times New Roman"/>
          <w:color w:val="222222"/>
          <w:shd w:val="clear" w:color="auto" w:fill="FFFFFF"/>
        </w:rPr>
      </w:pPr>
      <w:r w:rsidRPr="001B2386">
        <w:rPr>
          <w:b/>
        </w:rPr>
        <w:t>RESULTS:</w:t>
      </w:r>
      <w:r w:rsidR="000446EB"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 xml:space="preserve">There were significant correlation between Mean Deviation (MD) values in 24-2 and 10-2 SITA with </w:t>
      </w:r>
      <w:proofErr w:type="spellStart"/>
      <w:r w:rsidR="00CC4B18" w:rsidRPr="00CC4B18">
        <w:rPr>
          <w:rFonts w:eastAsia="Times New Roman"/>
          <w:color w:val="222222"/>
          <w:shd w:val="clear" w:color="auto" w:fill="FFFFFF"/>
        </w:rPr>
        <w:t>MagnitudeD</w:t>
      </w:r>
      <w:proofErr w:type="spellEnd"/>
      <w:r w:rsidR="00CC4B18">
        <w:rPr>
          <w:rFonts w:eastAsia="Times New Roman"/>
          <w:color w:val="222222"/>
          <w:shd w:val="clear" w:color="auto" w:fill="FFFFFF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>(</w:t>
      </w:r>
      <w:proofErr w:type="spellStart"/>
      <w:r w:rsidR="00CC4B18" w:rsidRPr="00CC4B18">
        <w:rPr>
          <w:rFonts w:eastAsia="Times New Roman"/>
          <w:color w:val="222222"/>
          <w:shd w:val="clear" w:color="auto" w:fill="FFFFFF"/>
        </w:rPr>
        <w:t>MagD</w:t>
      </w:r>
      <w:proofErr w:type="spellEnd"/>
      <w:r w:rsidR="00CC4B18" w:rsidRPr="00CC4B18">
        <w:rPr>
          <w:rFonts w:eastAsia="Times New Roman"/>
          <w:color w:val="222222"/>
          <w:shd w:val="clear" w:color="auto" w:fill="FFFFFF"/>
        </w:rPr>
        <w:t xml:space="preserve">) and </w:t>
      </w:r>
      <w:proofErr w:type="spellStart"/>
      <w:r w:rsidR="00CC4B18" w:rsidRPr="00CC4B18">
        <w:rPr>
          <w:rFonts w:eastAsia="Times New Roman"/>
          <w:color w:val="222222"/>
          <w:shd w:val="clear" w:color="auto" w:fill="FFFFFF"/>
        </w:rPr>
        <w:t>MagD</w:t>
      </w:r>
      <w:proofErr w:type="spellEnd"/>
      <w:r w:rsidR="00CC4B18" w:rsidRPr="00CC4B18">
        <w:rPr>
          <w:rFonts w:eastAsia="Times New Roman"/>
          <w:color w:val="222222"/>
          <w:shd w:val="clear" w:color="auto" w:fill="FFFFFF"/>
        </w:rPr>
        <w:t>/Mag Ratios (</w:t>
      </w:r>
      <w:proofErr w:type="spellStart"/>
      <w:r w:rsidR="00CC4B18" w:rsidRPr="00CC4B18">
        <w:rPr>
          <w:rFonts w:eastAsia="Times New Roman"/>
          <w:color w:val="222222"/>
          <w:shd w:val="clear" w:color="auto" w:fill="FFFFFF"/>
        </w:rPr>
        <w:t>MagD</w:t>
      </w:r>
      <w:proofErr w:type="spellEnd"/>
      <w:r w:rsidR="00CC4B18" w:rsidRPr="00CC4B18">
        <w:rPr>
          <w:rFonts w:eastAsia="Times New Roman"/>
          <w:color w:val="222222"/>
          <w:shd w:val="clear" w:color="auto" w:fill="FFFFFF"/>
        </w:rPr>
        <w:t>/Mag R) for both CS and CSF (</w:t>
      </w:r>
      <w:r w:rsidR="00CC4B18" w:rsidRPr="00CC4B18">
        <w:rPr>
          <w:rFonts w:eastAsia="Times New Roman"/>
          <w:i/>
          <w:color w:val="222222"/>
          <w:shd w:val="clear" w:color="auto" w:fill="FFFFFF"/>
        </w:rPr>
        <w:t>r</w:t>
      </w:r>
      <w:r w:rsidR="004420B7">
        <w:rPr>
          <w:rFonts w:eastAsia="Times New Roman"/>
          <w:i/>
          <w:color w:val="222222"/>
          <w:shd w:val="clear" w:color="auto" w:fill="FFFFFF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>&gt;</w:t>
      </w:r>
      <w:r w:rsidR="004420B7">
        <w:rPr>
          <w:rFonts w:eastAsia="Times New Roman"/>
          <w:color w:val="222222"/>
          <w:shd w:val="clear" w:color="auto" w:fill="FFFFFF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 xml:space="preserve">0.326, </w:t>
      </w:r>
      <w:r w:rsidR="00CC4B18" w:rsidRPr="00CC4B18">
        <w:rPr>
          <w:rFonts w:eastAsia="Times New Roman"/>
          <w:i/>
          <w:color w:val="222222"/>
          <w:shd w:val="clear" w:color="auto" w:fill="FFFFFF"/>
        </w:rPr>
        <w:t>p</w:t>
      </w:r>
      <w:r w:rsidR="004420B7">
        <w:rPr>
          <w:rFonts w:eastAsia="Times New Roman"/>
          <w:i/>
          <w:color w:val="222222"/>
          <w:shd w:val="clear" w:color="auto" w:fill="FFFFFF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>&lt;</w:t>
      </w:r>
      <w:r w:rsidR="004420B7">
        <w:rPr>
          <w:rFonts w:eastAsia="Times New Roman"/>
          <w:color w:val="222222"/>
          <w:shd w:val="clear" w:color="auto" w:fill="FFFFFF"/>
        </w:rPr>
        <w:t xml:space="preserve"> 0</w:t>
      </w:r>
      <w:r w:rsidR="00CC4B18" w:rsidRPr="00CC4B18">
        <w:rPr>
          <w:rFonts w:eastAsia="Times New Roman"/>
          <w:color w:val="222222"/>
          <w:shd w:val="clear" w:color="auto" w:fill="FFFFFF"/>
        </w:rPr>
        <w:t xml:space="preserve">.031). The coefficient of determination between MD 24-2 and CS values were </w:t>
      </w:r>
      <w:r w:rsidR="00CC4B18" w:rsidRPr="00CC4B18">
        <w:rPr>
          <w:rFonts w:eastAsia="Times New Roman"/>
          <w:i/>
          <w:color w:val="222222"/>
          <w:shd w:val="clear" w:color="auto" w:fill="FFFFFF"/>
        </w:rPr>
        <w:t>r</w:t>
      </w:r>
      <w:r w:rsidR="00CC4B18" w:rsidRPr="00CC4B18">
        <w:rPr>
          <w:rFonts w:eastAsia="Times New Roman"/>
          <w:i/>
          <w:color w:val="222222"/>
          <w:shd w:val="clear" w:color="auto" w:fill="FFFFFF"/>
          <w:vertAlign w:val="superscript"/>
        </w:rPr>
        <w:t>2</w:t>
      </w:r>
      <w:r w:rsidR="00CC4B18" w:rsidRPr="00CC4B18">
        <w:rPr>
          <w:rFonts w:eastAsia="Times New Roman"/>
          <w:color w:val="222222"/>
          <w:shd w:val="clear" w:color="auto" w:fill="FFFFFF"/>
          <w:vertAlign w:val="subscript"/>
        </w:rPr>
        <w:t>MagD</w:t>
      </w:r>
      <w:r w:rsidR="004420B7">
        <w:rPr>
          <w:rFonts w:eastAsia="Times New Roman"/>
          <w:color w:val="222222"/>
          <w:shd w:val="clear" w:color="auto" w:fill="FFFFFF"/>
          <w:vertAlign w:val="subscript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>=</w:t>
      </w:r>
      <w:r w:rsidR="004420B7">
        <w:rPr>
          <w:rFonts w:eastAsia="Times New Roman"/>
          <w:color w:val="222222"/>
          <w:shd w:val="clear" w:color="auto" w:fill="FFFFFF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 xml:space="preserve">0.108, </w:t>
      </w:r>
      <w:r w:rsidR="00CC4B18" w:rsidRPr="00CC4B18">
        <w:rPr>
          <w:rFonts w:eastAsia="Times New Roman"/>
          <w:i/>
          <w:color w:val="222222"/>
          <w:shd w:val="clear" w:color="auto" w:fill="FFFFFF"/>
        </w:rPr>
        <w:t>r</w:t>
      </w:r>
      <w:r w:rsidR="00CC4B18" w:rsidRPr="00CC4B18">
        <w:rPr>
          <w:rFonts w:eastAsia="Times New Roman"/>
          <w:i/>
          <w:color w:val="222222"/>
          <w:shd w:val="clear" w:color="auto" w:fill="FFFFFF"/>
          <w:vertAlign w:val="superscript"/>
        </w:rPr>
        <w:t>2</w:t>
      </w:r>
      <w:r w:rsidR="00CC4B18" w:rsidRPr="00CC4B18">
        <w:rPr>
          <w:rFonts w:eastAsia="Times New Roman"/>
          <w:color w:val="222222"/>
          <w:shd w:val="clear" w:color="auto" w:fill="FFFFFF"/>
          <w:vertAlign w:val="subscript"/>
        </w:rPr>
        <w:t>MagD/Mag R</w:t>
      </w:r>
      <w:r w:rsidR="004420B7">
        <w:rPr>
          <w:rFonts w:eastAsia="Times New Roman"/>
          <w:color w:val="222222"/>
          <w:shd w:val="clear" w:color="auto" w:fill="FFFFFF"/>
          <w:vertAlign w:val="subscript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>=</w:t>
      </w:r>
      <w:r w:rsidR="004420B7">
        <w:rPr>
          <w:rFonts w:eastAsia="Times New Roman"/>
          <w:color w:val="222222"/>
          <w:shd w:val="clear" w:color="auto" w:fill="FFFFFF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 xml:space="preserve">0.134 and CSF values were </w:t>
      </w:r>
      <w:r w:rsidR="00CC4B18" w:rsidRPr="00CC4B18">
        <w:rPr>
          <w:rFonts w:eastAsia="Times New Roman"/>
          <w:i/>
          <w:color w:val="222222"/>
          <w:shd w:val="clear" w:color="auto" w:fill="FFFFFF"/>
        </w:rPr>
        <w:t>r</w:t>
      </w:r>
      <w:r w:rsidR="00CC4B18" w:rsidRPr="00CC4B18">
        <w:rPr>
          <w:rFonts w:eastAsia="Times New Roman"/>
          <w:i/>
          <w:color w:val="222222"/>
          <w:shd w:val="clear" w:color="auto" w:fill="FFFFFF"/>
          <w:vertAlign w:val="superscript"/>
        </w:rPr>
        <w:t>2</w:t>
      </w:r>
      <w:r w:rsidR="00CC4B18" w:rsidRPr="00CC4B18">
        <w:rPr>
          <w:rFonts w:eastAsia="Times New Roman"/>
          <w:color w:val="222222"/>
          <w:shd w:val="clear" w:color="auto" w:fill="FFFFFF"/>
          <w:vertAlign w:val="subscript"/>
        </w:rPr>
        <w:t>MagD</w:t>
      </w:r>
      <w:r w:rsidR="004420B7">
        <w:rPr>
          <w:rFonts w:eastAsia="Times New Roman"/>
          <w:color w:val="222222"/>
          <w:shd w:val="clear" w:color="auto" w:fill="FFFFFF"/>
          <w:vertAlign w:val="subscript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>=</w:t>
      </w:r>
      <w:r w:rsidR="004420B7">
        <w:rPr>
          <w:rFonts w:eastAsia="Times New Roman"/>
          <w:color w:val="222222"/>
          <w:shd w:val="clear" w:color="auto" w:fill="FFFFFF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 xml:space="preserve">0.124, </w:t>
      </w:r>
      <w:r w:rsidR="00CC4B18" w:rsidRPr="00CC4B18">
        <w:rPr>
          <w:rFonts w:eastAsia="Times New Roman"/>
          <w:i/>
          <w:color w:val="222222"/>
          <w:shd w:val="clear" w:color="auto" w:fill="FFFFFF"/>
        </w:rPr>
        <w:t>r</w:t>
      </w:r>
      <w:r w:rsidR="00CC4B18" w:rsidRPr="00CC4B18">
        <w:rPr>
          <w:rFonts w:eastAsia="Times New Roman"/>
          <w:i/>
          <w:color w:val="222222"/>
          <w:shd w:val="clear" w:color="auto" w:fill="FFFFFF"/>
          <w:vertAlign w:val="superscript"/>
        </w:rPr>
        <w:t>2</w:t>
      </w:r>
      <w:r w:rsidR="00CC4B18" w:rsidRPr="00CC4B18">
        <w:rPr>
          <w:rFonts w:eastAsia="Times New Roman"/>
          <w:color w:val="222222"/>
          <w:shd w:val="clear" w:color="auto" w:fill="FFFFFF"/>
          <w:vertAlign w:val="subscript"/>
        </w:rPr>
        <w:t xml:space="preserve"> </w:t>
      </w:r>
      <w:proofErr w:type="spellStart"/>
      <w:r w:rsidR="00CC4B18" w:rsidRPr="00CC4B18">
        <w:rPr>
          <w:rFonts w:eastAsia="Times New Roman"/>
          <w:color w:val="222222"/>
          <w:shd w:val="clear" w:color="auto" w:fill="FFFFFF"/>
          <w:vertAlign w:val="subscript"/>
        </w:rPr>
        <w:t>MagD</w:t>
      </w:r>
      <w:proofErr w:type="spellEnd"/>
      <w:r w:rsidR="00CC4B18" w:rsidRPr="00CC4B18">
        <w:rPr>
          <w:rFonts w:eastAsia="Times New Roman"/>
          <w:color w:val="222222"/>
          <w:shd w:val="clear" w:color="auto" w:fill="FFFFFF"/>
          <w:vertAlign w:val="subscript"/>
        </w:rPr>
        <w:t>/Mag R</w:t>
      </w:r>
      <w:r w:rsidR="004420B7">
        <w:rPr>
          <w:rFonts w:eastAsia="Times New Roman"/>
          <w:color w:val="222222"/>
          <w:shd w:val="clear" w:color="auto" w:fill="FFFFFF"/>
          <w:vertAlign w:val="subscript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>=</w:t>
      </w:r>
      <w:r w:rsidR="004420B7">
        <w:rPr>
          <w:rFonts w:eastAsia="Times New Roman"/>
          <w:color w:val="222222"/>
          <w:shd w:val="clear" w:color="auto" w:fill="FFFFFF"/>
        </w:rPr>
        <w:t xml:space="preserve"> </w:t>
      </w:r>
      <w:r w:rsidR="00CC4B18" w:rsidRPr="00CC4B18">
        <w:rPr>
          <w:rFonts w:eastAsia="Times New Roman"/>
          <w:color w:val="222222"/>
          <w:shd w:val="clear" w:color="auto" w:fill="FFFFFF"/>
        </w:rPr>
        <w:t>0.161.</w:t>
      </w:r>
    </w:p>
    <w:p w14:paraId="5BF7A7E1" w14:textId="77777777" w:rsidR="00E977FA" w:rsidRDefault="00E977FA" w:rsidP="00A778E6">
      <w:pPr>
        <w:spacing w:after="0" w:line="240" w:lineRule="auto"/>
        <w:jc w:val="both"/>
        <w:rPr>
          <w:b/>
        </w:rPr>
      </w:pPr>
    </w:p>
    <w:p w14:paraId="1974790B" w14:textId="4600D05D" w:rsidR="00BE461E" w:rsidRDefault="00BE461E" w:rsidP="00A778E6">
      <w:pPr>
        <w:spacing w:after="0" w:line="240" w:lineRule="auto"/>
        <w:jc w:val="both"/>
      </w:pPr>
      <w:r w:rsidRPr="001B2386">
        <w:rPr>
          <w:b/>
        </w:rPr>
        <w:t>CONCLUSIONS:</w:t>
      </w:r>
      <w:r w:rsidR="000446EB">
        <w:t xml:space="preserve"> </w:t>
      </w:r>
      <w:r w:rsidR="00CC4B18" w:rsidRPr="00CC4B18">
        <w:t xml:space="preserve">We found a significant correlation between VF 24-2 and 10-2 with </w:t>
      </w:r>
      <w:proofErr w:type="spellStart"/>
      <w:r w:rsidR="00CC4B18" w:rsidRPr="00CC4B18">
        <w:t>PERG</w:t>
      </w:r>
      <w:proofErr w:type="spellEnd"/>
      <w:r w:rsidR="00CC4B18" w:rsidRPr="00CC4B18">
        <w:t xml:space="preserve">. </w:t>
      </w:r>
      <w:r w:rsidR="00B36EC2">
        <w:t xml:space="preserve">After controlling for age, sex, intraocular pressure, and artifacts, </w:t>
      </w:r>
      <w:proofErr w:type="spellStart"/>
      <w:r w:rsidR="00CC4B18" w:rsidRPr="00CC4B18">
        <w:t>PERG</w:t>
      </w:r>
      <w:proofErr w:type="spellEnd"/>
      <w:r w:rsidR="00CC4B18" w:rsidRPr="00CC4B18">
        <w:t xml:space="preserve"> parameters were </w:t>
      </w:r>
      <w:r w:rsidR="00B36EC2">
        <w:t xml:space="preserve">significantly </w:t>
      </w:r>
      <w:r w:rsidR="00CC4B18" w:rsidRPr="00CC4B18">
        <w:t xml:space="preserve">correlated with VF, which indicates latency-related retinal ganglion cell dysfunction. Our findings suggest that </w:t>
      </w:r>
      <w:proofErr w:type="spellStart"/>
      <w:r w:rsidR="00CC4B18" w:rsidRPr="00CC4B18">
        <w:t>PERG</w:t>
      </w:r>
      <w:proofErr w:type="spellEnd"/>
      <w:r w:rsidR="00CC4B18" w:rsidRPr="00CC4B18">
        <w:t xml:space="preserve"> can detect earlier functional changes than VF.</w:t>
      </w:r>
    </w:p>
    <w:p w14:paraId="46F03EFA" w14:textId="77777777" w:rsidR="00E977FA" w:rsidRDefault="00E977FA" w:rsidP="00A778E6">
      <w:pPr>
        <w:spacing w:after="0" w:line="240" w:lineRule="auto"/>
        <w:jc w:val="both"/>
        <w:rPr>
          <w:b/>
        </w:rPr>
      </w:pPr>
    </w:p>
    <w:p w14:paraId="2D7A4048" w14:textId="5BCBE386" w:rsidR="002402B9" w:rsidRDefault="00BE461E" w:rsidP="00A778E6">
      <w:pPr>
        <w:spacing w:after="0" w:line="240" w:lineRule="auto"/>
        <w:jc w:val="both"/>
      </w:pPr>
      <w:r w:rsidRPr="001B2386">
        <w:rPr>
          <w:b/>
        </w:rPr>
        <w:t>CONTENT CATEGORY:</w:t>
      </w:r>
      <w:r w:rsidR="000446EB">
        <w:t xml:space="preserve"> </w:t>
      </w:r>
      <w:r w:rsidR="00CC4B18">
        <w:t>Patient Care and Translational Science</w:t>
      </w:r>
      <w:r w:rsidR="000446EB">
        <w:t xml:space="preserve">. </w:t>
      </w:r>
    </w:p>
    <w:p w14:paraId="77D25A42" w14:textId="77777777" w:rsidR="006E7087" w:rsidRDefault="006E7087" w:rsidP="00A778E6">
      <w:pPr>
        <w:spacing w:after="0" w:line="240" w:lineRule="auto"/>
        <w:jc w:val="both"/>
      </w:pPr>
    </w:p>
    <w:p w14:paraId="46F93FAC" w14:textId="617F9DB7" w:rsidR="00BE461E" w:rsidRPr="002402B9" w:rsidRDefault="00BE461E" w:rsidP="00A778E6">
      <w:pPr>
        <w:spacing w:after="0" w:line="240" w:lineRule="auto"/>
        <w:jc w:val="both"/>
      </w:pPr>
      <w:r w:rsidRPr="006E7087">
        <w:rPr>
          <w:b/>
        </w:rPr>
        <w:t>KEYWORDS:</w:t>
      </w:r>
      <w:r>
        <w:t xml:space="preserve"> </w:t>
      </w:r>
      <w:r w:rsidR="00B0433E">
        <w:rPr>
          <w:i/>
        </w:rPr>
        <w:t>Visual field, electrophysiology, glaucoma.</w:t>
      </w:r>
      <w:r w:rsidR="000446EB">
        <w:rPr>
          <w:i/>
        </w:rPr>
        <w:t xml:space="preserve"> </w:t>
      </w:r>
    </w:p>
    <w:sectPr w:rsidR="00BE461E" w:rsidRPr="002402B9" w:rsidSect="006E7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1E"/>
    <w:rsid w:val="00040FE1"/>
    <w:rsid w:val="000446EB"/>
    <w:rsid w:val="0013132E"/>
    <w:rsid w:val="001B2386"/>
    <w:rsid w:val="00203B8D"/>
    <w:rsid w:val="00225738"/>
    <w:rsid w:val="002402B9"/>
    <w:rsid w:val="00436DA7"/>
    <w:rsid w:val="004420B7"/>
    <w:rsid w:val="006562D2"/>
    <w:rsid w:val="006E7087"/>
    <w:rsid w:val="006F43A0"/>
    <w:rsid w:val="007978AC"/>
    <w:rsid w:val="007D4B2E"/>
    <w:rsid w:val="00A778E6"/>
    <w:rsid w:val="00A92D8F"/>
    <w:rsid w:val="00B0433E"/>
    <w:rsid w:val="00B36EC2"/>
    <w:rsid w:val="00B631D0"/>
    <w:rsid w:val="00BE461E"/>
    <w:rsid w:val="00CC4B18"/>
    <w:rsid w:val="00CD7B92"/>
    <w:rsid w:val="00D840BF"/>
    <w:rsid w:val="00E0390F"/>
    <w:rsid w:val="00E7601F"/>
    <w:rsid w:val="00E977FA"/>
    <w:rsid w:val="00EC0AC3"/>
    <w:rsid w:val="00F53F74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7FAD"/>
  <w15:docId w15:val="{91757212-88C9-4945-8D84-A9535B2D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F281-269D-4A92-A3DC-047EB6F4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 Li</cp:lastModifiedBy>
  <cp:revision>9</cp:revision>
  <dcterms:created xsi:type="dcterms:W3CDTF">2018-08-06T14:39:00Z</dcterms:created>
  <dcterms:modified xsi:type="dcterms:W3CDTF">2018-10-25T16:45:00Z</dcterms:modified>
</cp:coreProperties>
</file>