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306E5AE" w14:textId="03482471" w:rsidR="0030130D" w:rsidRDefault="0030130D" w:rsidP="0030130D">
      <w:pPr>
        <w:spacing w:line="0" w:lineRule="atLeast"/>
        <w:jc w:val="both"/>
        <w:rPr>
          <w:rFonts w:ascii="Times New Roman" w:eastAsia="Times New Roman" w:hAnsi="Times New Roman" w:cs="Times New Roman"/>
          <w:b/>
          <w:sz w:val="24"/>
          <w:szCs w:val="24"/>
          <w:u w:val="single"/>
        </w:rPr>
      </w:pPr>
    </w:p>
    <w:p w14:paraId="69FC5F70" w14:textId="77777777" w:rsidR="0030130D" w:rsidRDefault="0030130D" w:rsidP="0030130D">
      <w:pPr>
        <w:spacing w:line="0" w:lineRule="atLeast"/>
        <w:jc w:val="both"/>
        <w:rPr>
          <w:rFonts w:ascii="Times New Roman" w:eastAsia="Times New Roman" w:hAnsi="Times New Roman" w:cs="Times New Roman"/>
          <w:b/>
          <w:sz w:val="24"/>
          <w:szCs w:val="24"/>
          <w:u w:val="single"/>
        </w:rPr>
      </w:pPr>
    </w:p>
    <w:p w14:paraId="4A2B44D0" w14:textId="6F6E4EBF" w:rsidR="0030130D" w:rsidRDefault="0030130D" w:rsidP="0030130D">
      <w:pPr>
        <w:spacing w:line="0" w:lineRule="atLeast"/>
        <w:jc w:val="both"/>
        <w:rPr>
          <w:rFonts w:ascii="Times New Roman" w:eastAsia="Times New Roman" w:hAnsi="Times New Roman" w:cs="Times New Roman"/>
          <w:b/>
          <w:sz w:val="24"/>
          <w:szCs w:val="24"/>
          <w:u w:val="single"/>
        </w:rPr>
      </w:pPr>
      <w:bookmarkStart w:id="0" w:name="page1"/>
      <w:bookmarkEnd w:id="0"/>
    </w:p>
    <w:p w14:paraId="6A6C4874" w14:textId="77777777" w:rsidR="0030130D" w:rsidRDefault="0030130D" w:rsidP="0030130D">
      <w:pPr>
        <w:spacing w:line="0" w:lineRule="atLeast"/>
        <w:jc w:val="both"/>
        <w:rPr>
          <w:rFonts w:ascii="Times New Roman" w:eastAsia="Times New Roman" w:hAnsi="Times New Roman" w:cs="Times New Roman"/>
          <w:b/>
          <w:sz w:val="24"/>
          <w:szCs w:val="24"/>
          <w:u w:val="single"/>
        </w:rPr>
      </w:pPr>
    </w:p>
    <w:p w14:paraId="6EAE9C1A" w14:textId="44BBB83F" w:rsidR="009E4D11" w:rsidRPr="0030130D" w:rsidRDefault="009E4D11" w:rsidP="0030130D">
      <w:pPr>
        <w:spacing w:line="0" w:lineRule="atLeast"/>
        <w:jc w:val="both"/>
        <w:rPr>
          <w:rFonts w:ascii="Times New Roman" w:eastAsia="Times New Roman" w:hAnsi="Times New Roman" w:cs="Times New Roman"/>
          <w:b/>
          <w:sz w:val="22"/>
          <w:szCs w:val="23"/>
        </w:rPr>
      </w:pPr>
      <w:r w:rsidRPr="0030130D">
        <w:rPr>
          <w:rFonts w:ascii="Times New Roman" w:eastAsia="Times New Roman" w:hAnsi="Times New Roman" w:cs="Times New Roman"/>
          <w:b/>
          <w:sz w:val="22"/>
          <w:szCs w:val="23"/>
        </w:rPr>
        <w:t xml:space="preserve">IDENTIFYING MYOSITIS SPECIFIC T-CELL RECEPTOR </w:t>
      </w:r>
    </w:p>
    <w:p w14:paraId="2B80D5D2" w14:textId="22AA850A" w:rsidR="0030130D" w:rsidRPr="0030130D" w:rsidRDefault="0030130D" w:rsidP="0030130D">
      <w:pPr>
        <w:jc w:val="both"/>
        <w:rPr>
          <w:rFonts w:ascii="Times New Roman" w:hAnsi="Times New Roman" w:cs="Times New Roman"/>
          <w:b/>
          <w:szCs w:val="23"/>
        </w:rPr>
      </w:pPr>
    </w:p>
    <w:p w14:paraId="72361F16" w14:textId="57246D45" w:rsidR="009E4D11" w:rsidRPr="0030130D" w:rsidRDefault="002A4567" w:rsidP="0030130D">
      <w:pPr>
        <w:jc w:val="both"/>
        <w:rPr>
          <w:rFonts w:ascii="Times New Roman" w:hAnsi="Times New Roman" w:cs="Times New Roman"/>
          <w:sz w:val="22"/>
          <w:szCs w:val="23"/>
        </w:rPr>
      </w:pPr>
      <w:proofErr w:type="spellStart"/>
      <w:r w:rsidRPr="0030130D">
        <w:rPr>
          <w:rFonts w:ascii="Times New Roman" w:hAnsi="Times New Roman" w:cs="Times New Roman"/>
          <w:b/>
          <w:sz w:val="22"/>
          <w:szCs w:val="23"/>
        </w:rPr>
        <w:t>Xuwen</w:t>
      </w:r>
      <w:proofErr w:type="spellEnd"/>
      <w:r w:rsidRPr="0030130D">
        <w:rPr>
          <w:rFonts w:ascii="Times New Roman" w:hAnsi="Times New Roman" w:cs="Times New Roman"/>
          <w:b/>
          <w:sz w:val="22"/>
          <w:szCs w:val="23"/>
        </w:rPr>
        <w:t xml:space="preserve"> Alice Zheng, Janelle Montagne</w:t>
      </w:r>
      <w:r w:rsidR="009E4D11" w:rsidRPr="0030130D">
        <w:rPr>
          <w:rFonts w:ascii="Times New Roman" w:hAnsi="Times New Roman" w:cs="Times New Roman"/>
          <w:sz w:val="22"/>
          <w:szCs w:val="23"/>
        </w:rPr>
        <w:t xml:space="preserve"> Iago P. Fernandez, Lisa Christopher-Stine, Thomas E. Lloyd, Andrew L. </w:t>
      </w:r>
      <w:proofErr w:type="spellStart"/>
      <w:r w:rsidR="009E4D11" w:rsidRPr="0030130D">
        <w:rPr>
          <w:rFonts w:ascii="Times New Roman" w:hAnsi="Times New Roman" w:cs="Times New Roman"/>
          <w:sz w:val="22"/>
          <w:szCs w:val="23"/>
        </w:rPr>
        <w:t>Mammen</w:t>
      </w:r>
      <w:proofErr w:type="spellEnd"/>
      <w:r w:rsidR="009E4D11" w:rsidRPr="0030130D">
        <w:rPr>
          <w:rFonts w:ascii="Times New Roman" w:hAnsi="Times New Roman" w:cs="Times New Roman"/>
          <w:sz w:val="22"/>
          <w:szCs w:val="23"/>
        </w:rPr>
        <w:t xml:space="preserve">, &amp; H. Benjamin </w:t>
      </w:r>
      <w:proofErr w:type="spellStart"/>
      <w:r w:rsidR="009E4D11" w:rsidRPr="0030130D">
        <w:rPr>
          <w:rFonts w:ascii="Times New Roman" w:hAnsi="Times New Roman" w:cs="Times New Roman"/>
          <w:sz w:val="22"/>
          <w:szCs w:val="23"/>
        </w:rPr>
        <w:t>Larman</w:t>
      </w:r>
      <w:proofErr w:type="spellEnd"/>
    </w:p>
    <w:p w14:paraId="730E18A8" w14:textId="7DA1A2C5" w:rsidR="001A4554" w:rsidRPr="0030130D" w:rsidRDefault="009E4D11" w:rsidP="0030130D">
      <w:pPr>
        <w:spacing w:line="0" w:lineRule="atLeast"/>
        <w:jc w:val="both"/>
        <w:rPr>
          <w:rFonts w:ascii="Times New Roman" w:eastAsia="Times New Roman" w:hAnsi="Times New Roman" w:cs="Times New Roman"/>
          <w:sz w:val="22"/>
          <w:szCs w:val="23"/>
        </w:rPr>
      </w:pPr>
      <w:proofErr w:type="spellStart"/>
      <w:r w:rsidRPr="0030130D">
        <w:rPr>
          <w:rFonts w:ascii="Times New Roman" w:eastAsia="Times New Roman" w:hAnsi="Times New Roman" w:cs="Times New Roman"/>
          <w:sz w:val="22"/>
          <w:szCs w:val="23"/>
        </w:rPr>
        <w:t>Larman</w:t>
      </w:r>
      <w:proofErr w:type="spellEnd"/>
      <w:r w:rsidRPr="0030130D">
        <w:rPr>
          <w:rFonts w:ascii="Times New Roman" w:eastAsia="Times New Roman" w:hAnsi="Times New Roman" w:cs="Times New Roman"/>
          <w:sz w:val="22"/>
          <w:szCs w:val="23"/>
        </w:rPr>
        <w:t xml:space="preserve"> Lab, Pathology Department, </w:t>
      </w:r>
      <w:r w:rsidR="009954C8" w:rsidRPr="0030130D">
        <w:rPr>
          <w:rFonts w:ascii="Times New Roman" w:eastAsia="Times New Roman" w:hAnsi="Times New Roman" w:cs="Times New Roman"/>
          <w:sz w:val="22"/>
          <w:szCs w:val="23"/>
        </w:rPr>
        <w:t xml:space="preserve">Johns Hopkins </w:t>
      </w:r>
      <w:r w:rsidRPr="0030130D">
        <w:rPr>
          <w:rFonts w:ascii="Times New Roman" w:eastAsia="Times New Roman" w:hAnsi="Times New Roman" w:cs="Times New Roman"/>
          <w:sz w:val="22"/>
          <w:szCs w:val="23"/>
        </w:rPr>
        <w:t>School of Medicine</w:t>
      </w:r>
    </w:p>
    <w:p w14:paraId="7ED4DFD6" w14:textId="37A7D6A5" w:rsidR="001A4554" w:rsidRPr="0030130D" w:rsidRDefault="00E77589" w:rsidP="0030130D">
      <w:pPr>
        <w:spacing w:line="0" w:lineRule="atLeast"/>
        <w:jc w:val="both"/>
        <w:rPr>
          <w:rFonts w:ascii="Times New Roman" w:eastAsia="Times New Roman" w:hAnsi="Times New Roman" w:cs="Times New Roman"/>
          <w:sz w:val="22"/>
          <w:szCs w:val="23"/>
        </w:rPr>
      </w:pPr>
      <w:r w:rsidRPr="0030130D">
        <w:rPr>
          <w:rFonts w:ascii="Times New Roman" w:eastAsia="Times New Roman" w:hAnsi="Times New Roman" w:cs="Times New Roman"/>
          <w:sz w:val="22"/>
          <w:szCs w:val="23"/>
        </w:rPr>
        <w:t>2 W University Pkwy, # 405, Baltimore MD, 21218</w:t>
      </w:r>
    </w:p>
    <w:p w14:paraId="74E8ED31" w14:textId="1CC7739A" w:rsidR="00E77589" w:rsidRPr="0030130D" w:rsidRDefault="00E77589" w:rsidP="0030130D">
      <w:pPr>
        <w:spacing w:line="276" w:lineRule="exact"/>
        <w:jc w:val="both"/>
        <w:rPr>
          <w:rFonts w:ascii="Times New Roman" w:eastAsia="Times New Roman" w:hAnsi="Times New Roman" w:cs="Times New Roman"/>
          <w:szCs w:val="23"/>
        </w:rPr>
      </w:pPr>
    </w:p>
    <w:p w14:paraId="58BE93DC" w14:textId="5C5944DD" w:rsidR="001A4554" w:rsidRPr="0030130D" w:rsidRDefault="009954C8" w:rsidP="0030130D">
      <w:pPr>
        <w:spacing w:line="0" w:lineRule="atLeast"/>
        <w:jc w:val="both"/>
        <w:rPr>
          <w:rFonts w:ascii="Times New Roman" w:eastAsia="Times New Roman" w:hAnsi="Times New Roman" w:cs="Times New Roman"/>
          <w:sz w:val="22"/>
          <w:szCs w:val="23"/>
        </w:rPr>
      </w:pPr>
      <w:r w:rsidRPr="0030130D">
        <w:rPr>
          <w:rFonts w:ascii="Times New Roman" w:eastAsia="Times New Roman" w:hAnsi="Times New Roman" w:cs="Times New Roman"/>
          <w:b/>
          <w:sz w:val="22"/>
          <w:szCs w:val="23"/>
        </w:rPr>
        <w:t>BACKGROUND</w:t>
      </w:r>
      <w:r w:rsidR="0030130D" w:rsidRPr="0030130D">
        <w:rPr>
          <w:rFonts w:ascii="Times New Roman" w:eastAsia="Times New Roman" w:hAnsi="Times New Roman" w:cs="Times New Roman"/>
          <w:b/>
          <w:sz w:val="22"/>
          <w:szCs w:val="23"/>
        </w:rPr>
        <w:t>:</w:t>
      </w:r>
      <w:r w:rsidR="0030130D" w:rsidRPr="0030130D">
        <w:rPr>
          <w:rFonts w:ascii="Times New Roman" w:eastAsia="Times New Roman" w:hAnsi="Times New Roman" w:cs="Times New Roman"/>
          <w:sz w:val="22"/>
          <w:szCs w:val="23"/>
        </w:rPr>
        <w:t xml:space="preserve"> </w:t>
      </w:r>
      <w:r w:rsidR="009919DE" w:rsidRPr="0030130D">
        <w:rPr>
          <w:rFonts w:ascii="Times New Roman" w:eastAsia="Times New Roman" w:hAnsi="Times New Roman" w:cs="Times New Roman"/>
          <w:sz w:val="22"/>
          <w:szCs w:val="23"/>
        </w:rPr>
        <w:t xml:space="preserve">Every T cell responding to a different antigen has a distinct T cell Receptor (TCR) that recognizes antigen. Since autoimmune diseases arise when T cell recognize “self” proteins as foreign, screening their T cell specificity can reveal how their immune responses differ from healthy individuals. However, accurately determining a T cell’s antigen specificity is a methodologic </w:t>
      </w:r>
      <w:r w:rsidR="00E47BD1" w:rsidRPr="0030130D">
        <w:rPr>
          <w:rFonts w:ascii="Times New Roman" w:eastAsia="Times New Roman" w:hAnsi="Times New Roman" w:cs="Times New Roman"/>
          <w:sz w:val="22"/>
          <w:szCs w:val="23"/>
        </w:rPr>
        <w:t>challenge. We</w:t>
      </w:r>
      <w:r w:rsidR="009919DE" w:rsidRPr="0030130D">
        <w:rPr>
          <w:rFonts w:ascii="Times New Roman" w:eastAsia="Times New Roman" w:hAnsi="Times New Roman" w:cs="Times New Roman"/>
          <w:sz w:val="22"/>
          <w:szCs w:val="23"/>
        </w:rPr>
        <w:t xml:space="preserve"> hypothesized that by sequencing T cell receptors, we could reliably match TCR sequence to antigen specificity. </w:t>
      </w:r>
      <w:r w:rsidR="005D603E" w:rsidRPr="0030130D">
        <w:rPr>
          <w:rFonts w:ascii="Times New Roman" w:eastAsia="Times New Roman" w:hAnsi="Times New Roman" w:cs="Times New Roman"/>
          <w:sz w:val="22"/>
          <w:szCs w:val="23"/>
        </w:rPr>
        <w:t xml:space="preserve">To test this, we </w:t>
      </w:r>
      <w:r w:rsidR="009919DE" w:rsidRPr="0030130D">
        <w:rPr>
          <w:rFonts w:ascii="Times New Roman" w:eastAsia="Times New Roman" w:hAnsi="Times New Roman" w:cs="Times New Roman"/>
          <w:sz w:val="22"/>
          <w:szCs w:val="23"/>
        </w:rPr>
        <w:t xml:space="preserve">screened </w:t>
      </w:r>
      <w:r w:rsidR="008866BB" w:rsidRPr="0030130D">
        <w:rPr>
          <w:rFonts w:ascii="Times New Roman" w:eastAsia="Times New Roman" w:hAnsi="Times New Roman" w:cs="Times New Roman"/>
          <w:sz w:val="22"/>
          <w:szCs w:val="23"/>
        </w:rPr>
        <w:t xml:space="preserve">muscle biopsies from </w:t>
      </w:r>
      <w:r w:rsidR="009919DE" w:rsidRPr="0030130D">
        <w:rPr>
          <w:rFonts w:ascii="Times New Roman" w:eastAsia="Times New Roman" w:hAnsi="Times New Roman" w:cs="Times New Roman"/>
          <w:sz w:val="22"/>
          <w:szCs w:val="23"/>
        </w:rPr>
        <w:t>patients with different types of myositis.</w:t>
      </w:r>
    </w:p>
    <w:p w14:paraId="2B6648F7" w14:textId="08E1C970" w:rsidR="00AD7D0E" w:rsidRPr="0030130D" w:rsidRDefault="00AD7D0E" w:rsidP="0030130D">
      <w:pPr>
        <w:ind w:firstLine="720"/>
        <w:jc w:val="both"/>
        <w:rPr>
          <w:rFonts w:ascii="Times New Roman" w:eastAsia="Times New Roman" w:hAnsi="Times New Roman" w:cs="Times New Roman"/>
          <w:szCs w:val="23"/>
        </w:rPr>
      </w:pPr>
    </w:p>
    <w:p w14:paraId="59EBB0CE" w14:textId="0655EE40" w:rsidR="0030130D" w:rsidRDefault="009919DE" w:rsidP="0030130D">
      <w:pPr>
        <w:spacing w:line="0" w:lineRule="atLeast"/>
        <w:jc w:val="both"/>
        <w:rPr>
          <w:rFonts w:ascii="Times New Roman" w:eastAsia="Times New Roman" w:hAnsi="Times New Roman" w:cs="Times New Roman"/>
          <w:sz w:val="22"/>
          <w:szCs w:val="23"/>
        </w:rPr>
      </w:pPr>
      <w:r w:rsidRPr="0030130D">
        <w:rPr>
          <w:rFonts w:ascii="Times New Roman" w:eastAsia="Times New Roman" w:hAnsi="Times New Roman" w:cs="Times New Roman"/>
          <w:b/>
          <w:sz w:val="22"/>
          <w:szCs w:val="23"/>
        </w:rPr>
        <w:t>METHODS</w:t>
      </w:r>
      <w:r w:rsidR="0030130D" w:rsidRPr="0030130D">
        <w:rPr>
          <w:rFonts w:ascii="Times New Roman" w:eastAsia="Times New Roman" w:hAnsi="Times New Roman" w:cs="Times New Roman"/>
          <w:b/>
          <w:sz w:val="22"/>
          <w:szCs w:val="23"/>
        </w:rPr>
        <w:t>:</w:t>
      </w:r>
      <w:r w:rsidR="0030130D" w:rsidRPr="0030130D">
        <w:rPr>
          <w:rFonts w:ascii="Times New Roman" w:eastAsia="Times New Roman" w:hAnsi="Times New Roman" w:cs="Times New Roman"/>
          <w:sz w:val="22"/>
          <w:szCs w:val="23"/>
        </w:rPr>
        <w:t xml:space="preserve"> </w:t>
      </w:r>
      <w:r w:rsidRPr="0030130D">
        <w:rPr>
          <w:rFonts w:ascii="Times New Roman" w:eastAsia="Times New Roman" w:hAnsi="Times New Roman" w:cs="Times New Roman"/>
          <w:sz w:val="22"/>
          <w:szCs w:val="23"/>
        </w:rPr>
        <w:t>RNA from</w:t>
      </w:r>
      <w:r w:rsidR="005A4848" w:rsidRPr="0030130D">
        <w:rPr>
          <w:rFonts w:ascii="Times New Roman" w:eastAsia="Times New Roman" w:hAnsi="Times New Roman" w:cs="Times New Roman"/>
          <w:sz w:val="22"/>
          <w:szCs w:val="23"/>
        </w:rPr>
        <w:t xml:space="preserve"> lymphocytes in</w:t>
      </w:r>
      <w:r w:rsidRPr="0030130D">
        <w:rPr>
          <w:rFonts w:ascii="Times New Roman" w:eastAsia="Times New Roman" w:hAnsi="Times New Roman" w:cs="Times New Roman"/>
          <w:sz w:val="22"/>
          <w:szCs w:val="23"/>
        </w:rPr>
        <w:t xml:space="preserve"> muscle biopsies were </w:t>
      </w:r>
      <w:r w:rsidR="00CC5899" w:rsidRPr="0030130D">
        <w:rPr>
          <w:rFonts w:ascii="Times New Roman" w:eastAsia="Times New Roman" w:hAnsi="Times New Roman" w:cs="Times New Roman"/>
          <w:sz w:val="22"/>
          <w:szCs w:val="23"/>
        </w:rPr>
        <w:t>provided to us in 96-well plates</w:t>
      </w:r>
      <w:r w:rsidRPr="0030130D">
        <w:rPr>
          <w:rFonts w:ascii="Times New Roman" w:eastAsia="Times New Roman" w:hAnsi="Times New Roman" w:cs="Times New Roman"/>
          <w:sz w:val="22"/>
          <w:szCs w:val="23"/>
        </w:rPr>
        <w:t>.</w:t>
      </w:r>
      <w:r w:rsidR="00675432" w:rsidRPr="0030130D">
        <w:rPr>
          <w:rFonts w:ascii="Times New Roman" w:eastAsia="Times New Roman" w:hAnsi="Times New Roman" w:cs="Times New Roman"/>
          <w:sz w:val="22"/>
          <w:szCs w:val="23"/>
        </w:rPr>
        <w:t xml:space="preserve"> Sample specific RNA was then reverse transcribed, yielding</w:t>
      </w:r>
      <w:r w:rsidRPr="0030130D">
        <w:rPr>
          <w:rFonts w:ascii="Times New Roman" w:eastAsia="Times New Roman" w:hAnsi="Times New Roman" w:cs="Times New Roman"/>
          <w:sz w:val="22"/>
          <w:szCs w:val="23"/>
        </w:rPr>
        <w:t xml:space="preserve"> well-specific TCR sequences as experimental output.</w:t>
      </w:r>
      <w:r w:rsidR="005518C1" w:rsidRPr="0030130D">
        <w:rPr>
          <w:rFonts w:ascii="Times New Roman" w:eastAsia="Times New Roman" w:hAnsi="Times New Roman" w:cs="Times New Roman"/>
          <w:sz w:val="22"/>
          <w:szCs w:val="23"/>
        </w:rPr>
        <w:t xml:space="preserve"> </w:t>
      </w:r>
      <w:r w:rsidR="00324544" w:rsidRPr="0030130D">
        <w:rPr>
          <w:rFonts w:ascii="Times New Roman" w:eastAsia="Times New Roman" w:hAnsi="Times New Roman" w:cs="Times New Roman"/>
          <w:sz w:val="22"/>
          <w:szCs w:val="23"/>
        </w:rPr>
        <w:t xml:space="preserve">New algorithms were written in R by the first author for analysis of these data to match TCR sequences to antigen specificities. We used our approach to analyze CDR3 sequences of the TCR beta chain, since this region yields information about antigen specificity. </w:t>
      </w:r>
      <w:r w:rsidR="00F2619B" w:rsidRPr="0030130D">
        <w:rPr>
          <w:rFonts w:ascii="Times New Roman" w:eastAsia="Times New Roman" w:hAnsi="Times New Roman" w:cs="Times New Roman"/>
          <w:sz w:val="22"/>
          <w:szCs w:val="23"/>
        </w:rPr>
        <w:t>The</w:t>
      </w:r>
      <w:r w:rsidRPr="0030130D">
        <w:rPr>
          <w:rFonts w:ascii="Times New Roman" w:eastAsia="Times New Roman" w:hAnsi="Times New Roman" w:cs="Times New Roman"/>
          <w:sz w:val="22"/>
          <w:szCs w:val="23"/>
        </w:rPr>
        <w:t xml:space="preserve"> open source software GLIPH (</w:t>
      </w:r>
      <w:r w:rsidR="00F960F1" w:rsidRPr="0030130D">
        <w:rPr>
          <w:rFonts w:ascii="Times New Roman" w:eastAsia="Times New Roman" w:hAnsi="Times New Roman" w:cs="Times New Roman"/>
          <w:sz w:val="22"/>
          <w:szCs w:val="23"/>
        </w:rPr>
        <w:t>https://github.com/immunoengineer/gliph</w:t>
      </w:r>
      <w:r w:rsidRPr="0030130D">
        <w:rPr>
          <w:rFonts w:ascii="Times New Roman" w:eastAsia="Times New Roman" w:hAnsi="Times New Roman" w:cs="Times New Roman"/>
          <w:sz w:val="22"/>
          <w:szCs w:val="23"/>
        </w:rPr>
        <w:t>) was</w:t>
      </w:r>
      <w:r w:rsidR="00F2619B" w:rsidRPr="0030130D">
        <w:rPr>
          <w:rFonts w:ascii="Times New Roman" w:eastAsia="Times New Roman" w:hAnsi="Times New Roman" w:cs="Times New Roman"/>
          <w:sz w:val="22"/>
          <w:szCs w:val="23"/>
        </w:rPr>
        <w:t xml:space="preserve"> then</w:t>
      </w:r>
      <w:r w:rsidRPr="0030130D">
        <w:rPr>
          <w:rFonts w:ascii="Times New Roman" w:eastAsia="Times New Roman" w:hAnsi="Times New Roman" w:cs="Times New Roman"/>
          <w:sz w:val="22"/>
          <w:szCs w:val="23"/>
        </w:rPr>
        <w:t xml:space="preserve"> used </w:t>
      </w:r>
      <w:r w:rsidR="005518C1" w:rsidRPr="0030130D">
        <w:rPr>
          <w:rFonts w:ascii="Times New Roman" w:eastAsia="Times New Roman" w:hAnsi="Times New Roman" w:cs="Times New Roman"/>
          <w:sz w:val="22"/>
          <w:szCs w:val="23"/>
        </w:rPr>
        <w:t>to group</w:t>
      </w:r>
      <w:r w:rsidRPr="0030130D">
        <w:rPr>
          <w:rFonts w:ascii="Times New Roman" w:eastAsia="Times New Roman" w:hAnsi="Times New Roman" w:cs="Times New Roman"/>
          <w:sz w:val="22"/>
          <w:szCs w:val="23"/>
        </w:rPr>
        <w:t xml:space="preserve"> lymphocyte interactions </w:t>
      </w:r>
      <w:r w:rsidR="00F960F1" w:rsidRPr="0030130D">
        <w:rPr>
          <w:rFonts w:ascii="Times New Roman" w:eastAsia="Times New Roman" w:hAnsi="Times New Roman" w:cs="Times New Roman"/>
          <w:sz w:val="22"/>
          <w:szCs w:val="23"/>
        </w:rPr>
        <w:t>by paratope hotspots.</w:t>
      </w:r>
      <w:r w:rsidR="000E22E8" w:rsidRPr="0030130D">
        <w:rPr>
          <w:rFonts w:ascii="Times New Roman" w:eastAsia="Times New Roman" w:hAnsi="Times New Roman" w:cs="Times New Roman"/>
          <w:sz w:val="22"/>
          <w:szCs w:val="23"/>
        </w:rPr>
        <w:t xml:space="preserve"> </w:t>
      </w:r>
    </w:p>
    <w:p w14:paraId="2AA77D3E" w14:textId="4F7C2A98" w:rsidR="00324544" w:rsidRPr="0030130D" w:rsidRDefault="00324544" w:rsidP="0030130D">
      <w:pPr>
        <w:spacing w:line="0" w:lineRule="atLeast"/>
        <w:jc w:val="both"/>
        <w:rPr>
          <w:rFonts w:ascii="Times New Roman" w:eastAsia="Times New Roman" w:hAnsi="Times New Roman" w:cs="Times New Roman"/>
          <w:sz w:val="22"/>
          <w:szCs w:val="23"/>
        </w:rPr>
      </w:pPr>
      <w:r w:rsidRPr="0030130D">
        <w:rPr>
          <w:rFonts w:ascii="Times New Roman" w:eastAsia="Times New Roman" w:hAnsi="Times New Roman" w:cs="Times New Roman"/>
          <w:sz w:val="22"/>
          <w:szCs w:val="23"/>
        </w:rPr>
        <w:t>Data analyses for clinical samples were done and results presented with violin plots</w:t>
      </w:r>
    </w:p>
    <w:p w14:paraId="3D123024" w14:textId="6AF6B732" w:rsidR="000E7487" w:rsidRPr="0030130D" w:rsidRDefault="000E7487" w:rsidP="0030130D">
      <w:pPr>
        <w:ind w:firstLine="720"/>
        <w:jc w:val="both"/>
        <w:rPr>
          <w:rFonts w:ascii="Times New Roman" w:eastAsia="Times New Roman" w:hAnsi="Times New Roman" w:cs="Times New Roman"/>
          <w:szCs w:val="23"/>
        </w:rPr>
      </w:pPr>
    </w:p>
    <w:p w14:paraId="098351F7" w14:textId="16492DFC" w:rsidR="00EF73C8" w:rsidRPr="0030130D" w:rsidRDefault="009954C8" w:rsidP="0030130D">
      <w:pPr>
        <w:spacing w:line="0" w:lineRule="atLeast"/>
        <w:jc w:val="both"/>
        <w:rPr>
          <w:rFonts w:ascii="Times New Roman" w:eastAsia="Times New Roman" w:hAnsi="Times New Roman" w:cs="Times New Roman"/>
          <w:sz w:val="22"/>
          <w:szCs w:val="23"/>
        </w:rPr>
      </w:pPr>
      <w:r w:rsidRPr="0030130D">
        <w:rPr>
          <w:rFonts w:ascii="Times New Roman" w:eastAsia="Times New Roman" w:hAnsi="Times New Roman" w:cs="Times New Roman"/>
          <w:b/>
          <w:sz w:val="22"/>
          <w:szCs w:val="23"/>
        </w:rPr>
        <w:t>RESULTS</w:t>
      </w:r>
      <w:r w:rsidR="0030130D" w:rsidRPr="0030130D">
        <w:rPr>
          <w:rFonts w:ascii="Times New Roman" w:eastAsia="Times New Roman" w:hAnsi="Times New Roman" w:cs="Times New Roman"/>
          <w:b/>
          <w:sz w:val="22"/>
          <w:szCs w:val="23"/>
        </w:rPr>
        <w:t>:</w:t>
      </w:r>
      <w:r w:rsidR="0030130D" w:rsidRPr="0030130D">
        <w:rPr>
          <w:rFonts w:ascii="Times New Roman" w:eastAsia="Times New Roman" w:hAnsi="Times New Roman" w:cs="Times New Roman"/>
          <w:sz w:val="22"/>
          <w:szCs w:val="23"/>
        </w:rPr>
        <w:t xml:space="preserve"> </w:t>
      </w:r>
      <w:r w:rsidR="001A2A7E" w:rsidRPr="0030130D">
        <w:rPr>
          <w:rFonts w:ascii="Times New Roman" w:eastAsia="Times New Roman" w:hAnsi="Times New Roman" w:cs="Times New Roman"/>
          <w:sz w:val="22"/>
          <w:szCs w:val="23"/>
        </w:rPr>
        <w:t>We screened 1</w:t>
      </w:r>
      <w:r w:rsidR="00F1730E" w:rsidRPr="0030130D">
        <w:rPr>
          <w:rFonts w:ascii="Times New Roman" w:eastAsia="Times New Roman" w:hAnsi="Times New Roman" w:cs="Times New Roman"/>
          <w:sz w:val="22"/>
          <w:szCs w:val="23"/>
        </w:rPr>
        <w:t>43</w:t>
      </w:r>
      <w:r w:rsidR="001A2A7E" w:rsidRPr="0030130D">
        <w:rPr>
          <w:rFonts w:ascii="Times New Roman" w:eastAsia="Times New Roman" w:hAnsi="Times New Roman" w:cs="Times New Roman"/>
          <w:sz w:val="22"/>
          <w:szCs w:val="23"/>
        </w:rPr>
        <w:t xml:space="preserve"> muscle biopsies from patients with dermatomyositis (</w:t>
      </w:r>
      <w:r w:rsidR="00D240B9" w:rsidRPr="0030130D">
        <w:rPr>
          <w:rFonts w:ascii="Times New Roman" w:eastAsia="Times New Roman" w:hAnsi="Times New Roman" w:cs="Times New Roman"/>
          <w:sz w:val="22"/>
          <w:szCs w:val="23"/>
        </w:rPr>
        <w:t>2</w:t>
      </w:r>
      <w:r w:rsidR="0034697C" w:rsidRPr="0030130D">
        <w:rPr>
          <w:rFonts w:ascii="Times New Roman" w:eastAsia="Times New Roman" w:hAnsi="Times New Roman" w:cs="Times New Roman"/>
          <w:sz w:val="22"/>
          <w:szCs w:val="23"/>
        </w:rPr>
        <w:t>8</w:t>
      </w:r>
      <w:r w:rsidR="001A2A7E" w:rsidRPr="0030130D">
        <w:rPr>
          <w:rFonts w:ascii="Times New Roman" w:eastAsia="Times New Roman" w:hAnsi="Times New Roman" w:cs="Times New Roman"/>
          <w:sz w:val="22"/>
          <w:szCs w:val="23"/>
        </w:rPr>
        <w:t>%), immune-mediated necrotizing myopathy (</w:t>
      </w:r>
      <w:r w:rsidR="00535934" w:rsidRPr="0030130D">
        <w:rPr>
          <w:rFonts w:ascii="Times New Roman" w:eastAsia="Times New Roman" w:hAnsi="Times New Roman" w:cs="Times New Roman"/>
          <w:sz w:val="22"/>
          <w:szCs w:val="23"/>
        </w:rPr>
        <w:t>3</w:t>
      </w:r>
      <w:r w:rsidR="00C61D47" w:rsidRPr="0030130D">
        <w:rPr>
          <w:rFonts w:ascii="Times New Roman" w:eastAsia="Times New Roman" w:hAnsi="Times New Roman" w:cs="Times New Roman"/>
          <w:sz w:val="22"/>
          <w:szCs w:val="23"/>
        </w:rPr>
        <w:t>4</w:t>
      </w:r>
      <w:r w:rsidR="001A2A7E" w:rsidRPr="0030130D">
        <w:rPr>
          <w:rFonts w:ascii="Times New Roman" w:eastAsia="Times New Roman" w:hAnsi="Times New Roman" w:cs="Times New Roman"/>
          <w:sz w:val="22"/>
          <w:szCs w:val="23"/>
        </w:rPr>
        <w:t>%), inclusion body myositis (</w:t>
      </w:r>
      <w:r w:rsidR="00747EB0" w:rsidRPr="0030130D">
        <w:rPr>
          <w:rFonts w:ascii="Times New Roman" w:eastAsia="Times New Roman" w:hAnsi="Times New Roman" w:cs="Times New Roman"/>
          <w:sz w:val="22"/>
          <w:szCs w:val="23"/>
        </w:rPr>
        <w:t>10</w:t>
      </w:r>
      <w:r w:rsidR="001A2A7E" w:rsidRPr="0030130D">
        <w:rPr>
          <w:rFonts w:ascii="Times New Roman" w:eastAsia="Times New Roman" w:hAnsi="Times New Roman" w:cs="Times New Roman"/>
          <w:sz w:val="22"/>
          <w:szCs w:val="23"/>
        </w:rPr>
        <w:t>%), anti-synthetase syndrome (</w:t>
      </w:r>
      <w:r w:rsidR="00860BCC" w:rsidRPr="0030130D">
        <w:rPr>
          <w:rFonts w:ascii="Times New Roman" w:eastAsia="Times New Roman" w:hAnsi="Times New Roman" w:cs="Times New Roman"/>
          <w:sz w:val="22"/>
          <w:szCs w:val="23"/>
        </w:rPr>
        <w:t>15</w:t>
      </w:r>
      <w:r w:rsidR="001A2A7E" w:rsidRPr="0030130D">
        <w:rPr>
          <w:rFonts w:ascii="Times New Roman" w:eastAsia="Times New Roman" w:hAnsi="Times New Roman" w:cs="Times New Roman"/>
          <w:sz w:val="22"/>
          <w:szCs w:val="23"/>
        </w:rPr>
        <w:t>%), myositis-systemic sclerosis overlap syndrome (</w:t>
      </w:r>
      <w:r w:rsidR="002D5594" w:rsidRPr="0030130D">
        <w:rPr>
          <w:rFonts w:ascii="Times New Roman" w:eastAsia="Times New Roman" w:hAnsi="Times New Roman" w:cs="Times New Roman"/>
          <w:sz w:val="22"/>
          <w:szCs w:val="23"/>
        </w:rPr>
        <w:t>13</w:t>
      </w:r>
      <w:r w:rsidR="001A2A7E" w:rsidRPr="0030130D">
        <w:rPr>
          <w:rFonts w:ascii="Times New Roman" w:eastAsia="Times New Roman" w:hAnsi="Times New Roman" w:cs="Times New Roman"/>
          <w:sz w:val="22"/>
          <w:szCs w:val="23"/>
        </w:rPr>
        <w:t xml:space="preserve">%), and samples from </w:t>
      </w:r>
      <w:r w:rsidR="00F57746" w:rsidRPr="0030130D">
        <w:rPr>
          <w:rFonts w:ascii="Times New Roman" w:eastAsia="Times New Roman" w:hAnsi="Times New Roman" w:cs="Times New Roman"/>
          <w:sz w:val="22"/>
          <w:szCs w:val="23"/>
        </w:rPr>
        <w:t xml:space="preserve">22 </w:t>
      </w:r>
      <w:r w:rsidR="001A2A7E" w:rsidRPr="0030130D">
        <w:rPr>
          <w:rFonts w:ascii="Times New Roman" w:eastAsia="Times New Roman" w:hAnsi="Times New Roman" w:cs="Times New Roman"/>
          <w:sz w:val="22"/>
          <w:szCs w:val="23"/>
        </w:rPr>
        <w:t>healthy controls.</w:t>
      </w:r>
    </w:p>
    <w:p w14:paraId="7CF523E6" w14:textId="1B9AE0AB" w:rsidR="00D805FB" w:rsidRPr="0030130D" w:rsidRDefault="0030130D" w:rsidP="0030130D">
      <w:pPr>
        <w:spacing w:line="250" w:lineRule="auto"/>
        <w:jc w:val="both"/>
        <w:rPr>
          <w:rFonts w:ascii="Times New Roman" w:eastAsia="Times New Roman" w:hAnsi="Times New Roman" w:cs="Times New Roman"/>
          <w:sz w:val="22"/>
          <w:szCs w:val="23"/>
        </w:rPr>
      </w:pPr>
      <w:r w:rsidRPr="0030130D">
        <w:rPr>
          <w:rFonts w:ascii="Times New Roman" w:eastAsia="Times New Roman" w:hAnsi="Times New Roman" w:cs="Times New Roman"/>
          <w:noProof/>
          <w:sz w:val="22"/>
          <w:szCs w:val="23"/>
        </w:rPr>
        <w:drawing>
          <wp:anchor distT="0" distB="0" distL="114300" distR="114300" simplePos="0" relativeHeight="251658240" behindDoc="1" locked="0" layoutInCell="1" allowOverlap="1" wp14:anchorId="1DF005DD" wp14:editId="771D3F4D">
            <wp:simplePos x="0" y="0"/>
            <wp:positionH relativeFrom="margin">
              <wp:posOffset>3486150</wp:posOffset>
            </wp:positionH>
            <wp:positionV relativeFrom="margin">
              <wp:posOffset>5124450</wp:posOffset>
            </wp:positionV>
            <wp:extent cx="3356610" cy="2857500"/>
            <wp:effectExtent l="19050" t="19050" r="15240" b="190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_cellViolinplot.jpeg"/>
                    <pic:cNvPicPr/>
                  </pic:nvPicPr>
                  <pic:blipFill>
                    <a:blip r:embed="rId8">
                      <a:extLst>
                        <a:ext uri="{28A0092B-C50C-407E-A947-70E740481C1C}">
                          <a14:useLocalDpi xmlns:a14="http://schemas.microsoft.com/office/drawing/2010/main" val="0"/>
                        </a:ext>
                      </a:extLst>
                    </a:blip>
                    <a:stretch>
                      <a:fillRect/>
                    </a:stretch>
                  </pic:blipFill>
                  <pic:spPr>
                    <a:xfrm>
                      <a:off x="0" y="0"/>
                      <a:ext cx="3356610" cy="28575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D464B9" w:rsidRPr="0030130D">
        <w:rPr>
          <w:rFonts w:ascii="Times New Roman" w:eastAsia="Times New Roman" w:hAnsi="Times New Roman" w:cs="Times New Roman"/>
          <w:sz w:val="22"/>
          <w:szCs w:val="23"/>
        </w:rPr>
        <w:t>In agreement with previous reports of immunohistochemical analyses, samples from patients with IBM had more T</w:t>
      </w:r>
      <w:r w:rsidR="005430A2" w:rsidRPr="0030130D">
        <w:rPr>
          <w:rFonts w:ascii="Times New Roman" w:eastAsia="Times New Roman" w:hAnsi="Times New Roman" w:cs="Times New Roman"/>
          <w:sz w:val="22"/>
          <w:szCs w:val="23"/>
        </w:rPr>
        <w:t xml:space="preserve"> </w:t>
      </w:r>
      <w:r w:rsidR="00D464B9" w:rsidRPr="0030130D">
        <w:rPr>
          <w:rFonts w:ascii="Times New Roman" w:eastAsia="Times New Roman" w:hAnsi="Times New Roman" w:cs="Times New Roman"/>
          <w:sz w:val="22"/>
          <w:szCs w:val="23"/>
        </w:rPr>
        <w:t xml:space="preserve">cell clones than any other myositis group. </w:t>
      </w:r>
      <w:r w:rsidR="0066606E" w:rsidRPr="0030130D">
        <w:rPr>
          <w:rFonts w:ascii="Times New Roman" w:eastAsia="Times New Roman" w:hAnsi="Times New Roman" w:cs="Times New Roman"/>
          <w:sz w:val="22"/>
          <w:szCs w:val="23"/>
        </w:rPr>
        <w:t>It was found that wells containing IBM biopsies contained a far greater T cell infiltrate, both in terms of cell number and clonal diversity.</w:t>
      </w:r>
      <w:r w:rsidR="00790B8A" w:rsidRPr="0030130D">
        <w:rPr>
          <w:rFonts w:ascii="Times New Roman" w:eastAsia="Times New Roman" w:hAnsi="Times New Roman" w:cs="Times New Roman"/>
          <w:sz w:val="22"/>
          <w:szCs w:val="23"/>
        </w:rPr>
        <w:t xml:space="preserve"> This is shown in </w:t>
      </w:r>
      <w:r w:rsidR="00CC46AE" w:rsidRPr="0030130D">
        <w:rPr>
          <w:rFonts w:ascii="Times New Roman" w:eastAsia="Times New Roman" w:hAnsi="Times New Roman" w:cs="Times New Roman"/>
          <w:sz w:val="22"/>
          <w:szCs w:val="23"/>
        </w:rPr>
        <w:t xml:space="preserve">the following </w:t>
      </w:r>
      <w:r w:rsidR="00790B8A" w:rsidRPr="0030130D">
        <w:rPr>
          <w:rFonts w:ascii="Times New Roman" w:eastAsia="Times New Roman" w:hAnsi="Times New Roman" w:cs="Times New Roman"/>
          <w:sz w:val="22"/>
          <w:szCs w:val="23"/>
        </w:rPr>
        <w:t xml:space="preserve">violin plot, with </w:t>
      </w:r>
      <w:r w:rsidR="004E0623" w:rsidRPr="0030130D">
        <w:rPr>
          <w:rFonts w:ascii="Times New Roman" w:eastAsia="Times New Roman" w:hAnsi="Times New Roman" w:cs="Times New Roman"/>
          <w:sz w:val="22"/>
          <w:szCs w:val="23"/>
        </w:rPr>
        <w:t>the IBM cohort</w:t>
      </w:r>
      <w:r w:rsidR="00790B8A" w:rsidRPr="0030130D">
        <w:rPr>
          <w:rFonts w:ascii="Times New Roman" w:eastAsia="Times New Roman" w:hAnsi="Times New Roman" w:cs="Times New Roman"/>
          <w:sz w:val="22"/>
          <w:szCs w:val="23"/>
        </w:rPr>
        <w:t xml:space="preserve"> having a wider violin</w:t>
      </w:r>
      <w:r w:rsidR="00820FA2" w:rsidRPr="0030130D">
        <w:rPr>
          <w:rFonts w:ascii="Times New Roman" w:eastAsia="Times New Roman" w:hAnsi="Times New Roman" w:cs="Times New Roman"/>
          <w:sz w:val="22"/>
          <w:szCs w:val="23"/>
        </w:rPr>
        <w:t>, representing more</w:t>
      </w:r>
      <w:r w:rsidR="00790B8A" w:rsidRPr="0030130D">
        <w:rPr>
          <w:rFonts w:ascii="Times New Roman" w:eastAsia="Times New Roman" w:hAnsi="Times New Roman" w:cs="Times New Roman"/>
          <w:sz w:val="22"/>
          <w:szCs w:val="23"/>
        </w:rPr>
        <w:t xml:space="preserve"> T cell clones.</w:t>
      </w:r>
      <w:r w:rsidR="00D464B9" w:rsidRPr="0030130D">
        <w:rPr>
          <w:rFonts w:ascii="Times New Roman" w:eastAsia="Times New Roman" w:hAnsi="Times New Roman" w:cs="Times New Roman"/>
          <w:sz w:val="22"/>
          <w:szCs w:val="23"/>
        </w:rPr>
        <w:t xml:space="preserve"> </w:t>
      </w:r>
      <w:r w:rsidR="00A638C8" w:rsidRPr="0030130D">
        <w:rPr>
          <w:rFonts w:ascii="Times New Roman" w:eastAsia="Times New Roman" w:hAnsi="Times New Roman" w:cs="Times New Roman"/>
          <w:sz w:val="22"/>
          <w:szCs w:val="23"/>
        </w:rPr>
        <w:t xml:space="preserve">The values plotted along the y-axis are the log base 10 values of the cell counts. </w:t>
      </w:r>
    </w:p>
    <w:p w14:paraId="20AAE640" w14:textId="281A7F85" w:rsidR="001A4554" w:rsidRPr="0030130D" w:rsidRDefault="00D464B9" w:rsidP="0030130D">
      <w:pPr>
        <w:spacing w:line="250" w:lineRule="auto"/>
        <w:jc w:val="both"/>
        <w:rPr>
          <w:rFonts w:ascii="Times New Roman" w:eastAsia="Times New Roman" w:hAnsi="Times New Roman" w:cs="Times New Roman"/>
          <w:sz w:val="22"/>
          <w:szCs w:val="23"/>
        </w:rPr>
      </w:pPr>
      <w:r w:rsidRPr="0030130D">
        <w:rPr>
          <w:rFonts w:ascii="Times New Roman" w:eastAsia="Times New Roman" w:hAnsi="Times New Roman" w:cs="Times New Roman"/>
          <w:sz w:val="22"/>
          <w:szCs w:val="23"/>
        </w:rPr>
        <w:t>These polyclonally infiltrated IBM samples are mostly comprised of hyperexpanded clones. Furthermore, using GLIPH, we</w:t>
      </w:r>
      <w:r w:rsidR="00E62833" w:rsidRPr="0030130D">
        <w:rPr>
          <w:rFonts w:ascii="Times New Roman" w:eastAsia="Times New Roman" w:hAnsi="Times New Roman" w:cs="Times New Roman"/>
          <w:sz w:val="22"/>
          <w:szCs w:val="23"/>
        </w:rPr>
        <w:t xml:space="preserve"> found </w:t>
      </w:r>
      <w:r w:rsidRPr="0030130D">
        <w:rPr>
          <w:rFonts w:ascii="Times New Roman" w:eastAsia="Times New Roman" w:hAnsi="Times New Roman" w:cs="Times New Roman"/>
          <w:sz w:val="22"/>
          <w:szCs w:val="23"/>
        </w:rPr>
        <w:t>that TCR sequences from muscle-infiltrating T lymphocytes contain disease-specific motifs and form disease-specific clusters.</w:t>
      </w:r>
      <w:bookmarkStart w:id="1" w:name="_GoBack"/>
      <w:bookmarkEnd w:id="1"/>
    </w:p>
    <w:p w14:paraId="0C0C7D50" w14:textId="45B4FB4B" w:rsidR="000E22E8" w:rsidRPr="0030130D" w:rsidRDefault="000E22E8" w:rsidP="0030130D">
      <w:pPr>
        <w:spacing w:line="250" w:lineRule="auto"/>
        <w:jc w:val="both"/>
        <w:rPr>
          <w:rFonts w:ascii="Times New Roman" w:eastAsia="Times New Roman" w:hAnsi="Times New Roman" w:cs="Times New Roman"/>
          <w:sz w:val="22"/>
          <w:szCs w:val="23"/>
        </w:rPr>
      </w:pPr>
      <w:r w:rsidRPr="0030130D">
        <w:rPr>
          <w:rFonts w:ascii="Times New Roman" w:eastAsia="Times New Roman" w:hAnsi="Times New Roman" w:cs="Times New Roman"/>
          <w:sz w:val="22"/>
          <w:szCs w:val="23"/>
        </w:rPr>
        <w:t xml:space="preserve">Additionally, clones within these clusters are often more expanded than corresponding </w:t>
      </w:r>
      <w:proofErr w:type="spellStart"/>
      <w:r w:rsidRPr="0030130D">
        <w:rPr>
          <w:rFonts w:ascii="Times New Roman" w:eastAsia="Times New Roman" w:hAnsi="Times New Roman" w:cs="Times New Roman"/>
          <w:sz w:val="22"/>
          <w:szCs w:val="23"/>
        </w:rPr>
        <w:t>unclustered</w:t>
      </w:r>
      <w:proofErr w:type="spellEnd"/>
      <w:r w:rsidRPr="0030130D">
        <w:rPr>
          <w:rFonts w:ascii="Times New Roman" w:eastAsia="Times New Roman" w:hAnsi="Times New Roman" w:cs="Times New Roman"/>
          <w:sz w:val="22"/>
          <w:szCs w:val="23"/>
        </w:rPr>
        <w:t xml:space="preserve"> clones, as demonstrated by an anti-synthetase syndrome </w:t>
      </w:r>
      <w:r w:rsidR="00444E5C" w:rsidRPr="0030130D">
        <w:rPr>
          <w:rFonts w:ascii="Times New Roman" w:eastAsia="Times New Roman" w:hAnsi="Times New Roman" w:cs="Times New Roman"/>
          <w:sz w:val="22"/>
          <w:szCs w:val="23"/>
        </w:rPr>
        <w:t>(Anti-SS)</w:t>
      </w:r>
      <w:r w:rsidR="000E7487" w:rsidRPr="0030130D">
        <w:rPr>
          <w:rFonts w:ascii="Times New Roman" w:eastAsia="Times New Roman" w:hAnsi="Times New Roman" w:cs="Times New Roman"/>
          <w:sz w:val="22"/>
          <w:szCs w:val="23"/>
        </w:rPr>
        <w:t xml:space="preserve"> </w:t>
      </w:r>
      <w:r w:rsidRPr="0030130D">
        <w:rPr>
          <w:rFonts w:ascii="Times New Roman" w:eastAsia="Times New Roman" w:hAnsi="Times New Roman" w:cs="Times New Roman"/>
          <w:sz w:val="22"/>
          <w:szCs w:val="23"/>
        </w:rPr>
        <w:t>specific cluster (p=0.0001). Sequences in this cluster represent</w:t>
      </w:r>
      <w:r w:rsidR="00322481" w:rsidRPr="0030130D">
        <w:rPr>
          <w:rFonts w:ascii="Times New Roman" w:eastAsia="Times New Roman" w:hAnsi="Times New Roman" w:cs="Times New Roman"/>
          <w:sz w:val="22"/>
          <w:szCs w:val="23"/>
        </w:rPr>
        <w:t>ed</w:t>
      </w:r>
      <w:r w:rsidRPr="0030130D">
        <w:rPr>
          <w:rFonts w:ascii="Times New Roman" w:eastAsia="Times New Roman" w:hAnsi="Times New Roman" w:cs="Times New Roman"/>
          <w:sz w:val="22"/>
          <w:szCs w:val="23"/>
        </w:rPr>
        <w:t xml:space="preserve"> 6/19 (31.6%) A</w:t>
      </w:r>
      <w:r w:rsidR="00D82B9B" w:rsidRPr="0030130D">
        <w:rPr>
          <w:rFonts w:ascii="Times New Roman" w:eastAsia="Times New Roman" w:hAnsi="Times New Roman" w:cs="Times New Roman"/>
          <w:sz w:val="22"/>
          <w:szCs w:val="23"/>
        </w:rPr>
        <w:t>nti</w:t>
      </w:r>
      <w:r w:rsidR="000E7487" w:rsidRPr="0030130D">
        <w:rPr>
          <w:rFonts w:ascii="Times New Roman" w:eastAsia="Times New Roman" w:hAnsi="Times New Roman" w:cs="Times New Roman"/>
          <w:sz w:val="22"/>
          <w:szCs w:val="23"/>
        </w:rPr>
        <w:t>-</w:t>
      </w:r>
      <w:r w:rsidR="00D82B9B" w:rsidRPr="0030130D">
        <w:rPr>
          <w:rFonts w:ascii="Times New Roman" w:eastAsia="Times New Roman" w:hAnsi="Times New Roman" w:cs="Times New Roman"/>
          <w:sz w:val="22"/>
          <w:szCs w:val="23"/>
        </w:rPr>
        <w:t>S</w:t>
      </w:r>
      <w:r w:rsidRPr="0030130D">
        <w:rPr>
          <w:rFonts w:ascii="Times New Roman" w:eastAsia="Times New Roman" w:hAnsi="Times New Roman" w:cs="Times New Roman"/>
          <w:sz w:val="22"/>
          <w:szCs w:val="23"/>
        </w:rPr>
        <w:t>S patients in the cohort, and suggest a shared antigenic target for these clones in these patients.</w:t>
      </w:r>
    </w:p>
    <w:p w14:paraId="21008730" w14:textId="530CBC7C" w:rsidR="000E7487" w:rsidRPr="0030130D" w:rsidRDefault="009C4762" w:rsidP="0030130D">
      <w:pPr>
        <w:jc w:val="both"/>
        <w:rPr>
          <w:rFonts w:ascii="Times New Roman" w:eastAsia="Times New Roman" w:hAnsi="Times New Roman" w:cs="Times New Roman"/>
          <w:sz w:val="22"/>
          <w:szCs w:val="23"/>
        </w:rPr>
      </w:pPr>
      <w:r w:rsidRPr="0030130D">
        <w:rPr>
          <w:rFonts w:ascii="Times New Roman" w:eastAsia="Times New Roman" w:hAnsi="Times New Roman" w:cs="Times New Roman"/>
          <w:sz w:val="22"/>
          <w:szCs w:val="23"/>
        </w:rPr>
        <w:t>O</w:t>
      </w:r>
      <w:r w:rsidR="00C82089" w:rsidRPr="0030130D">
        <w:rPr>
          <w:rFonts w:ascii="Times New Roman" w:eastAsia="Times New Roman" w:hAnsi="Times New Roman" w:cs="Times New Roman"/>
          <w:sz w:val="22"/>
          <w:szCs w:val="23"/>
        </w:rPr>
        <w:t xml:space="preserve">ur sequencing method generated quantitative repertoire data sets, producing results very similar to those of Adaptive Biotechnologies, at about </w:t>
      </w:r>
      <w:r w:rsidR="002C69A5" w:rsidRPr="0030130D">
        <w:rPr>
          <w:rFonts w:ascii="Times New Roman" w:eastAsia="Times New Roman" w:hAnsi="Times New Roman" w:cs="Times New Roman"/>
          <w:sz w:val="22"/>
          <w:szCs w:val="23"/>
        </w:rPr>
        <w:t>a</w:t>
      </w:r>
      <w:r w:rsidR="00C82089" w:rsidRPr="0030130D">
        <w:rPr>
          <w:rFonts w:ascii="Times New Roman" w:eastAsia="Times New Roman" w:hAnsi="Times New Roman" w:cs="Times New Roman"/>
          <w:sz w:val="22"/>
          <w:szCs w:val="23"/>
        </w:rPr>
        <w:t xml:space="preserve"> 100-fo</w:t>
      </w:r>
      <w:r w:rsidR="00B0525A" w:rsidRPr="0030130D">
        <w:rPr>
          <w:rFonts w:ascii="Times New Roman" w:eastAsia="Times New Roman" w:hAnsi="Times New Roman" w:cs="Times New Roman"/>
          <w:sz w:val="22"/>
          <w:szCs w:val="23"/>
        </w:rPr>
        <w:t>l</w:t>
      </w:r>
      <w:r w:rsidR="00C82089" w:rsidRPr="0030130D">
        <w:rPr>
          <w:rFonts w:ascii="Times New Roman" w:eastAsia="Times New Roman" w:hAnsi="Times New Roman" w:cs="Times New Roman"/>
          <w:sz w:val="22"/>
          <w:szCs w:val="23"/>
        </w:rPr>
        <w:t>d reduced cost.</w:t>
      </w:r>
    </w:p>
    <w:p w14:paraId="574FEEC1" w14:textId="77777777" w:rsidR="001A4554" w:rsidRPr="0030130D" w:rsidRDefault="001A4554" w:rsidP="0030130D">
      <w:pPr>
        <w:spacing w:line="267" w:lineRule="exact"/>
        <w:jc w:val="both"/>
        <w:rPr>
          <w:rFonts w:ascii="Times New Roman" w:eastAsia="Times New Roman" w:hAnsi="Times New Roman" w:cs="Times New Roman"/>
          <w:szCs w:val="23"/>
        </w:rPr>
      </w:pPr>
    </w:p>
    <w:p w14:paraId="59BF16C3" w14:textId="07003CF7" w:rsidR="00CC5899" w:rsidRPr="0030130D" w:rsidRDefault="009954C8" w:rsidP="0030130D">
      <w:pPr>
        <w:spacing w:line="0" w:lineRule="atLeast"/>
        <w:jc w:val="both"/>
        <w:rPr>
          <w:rFonts w:ascii="Times New Roman" w:eastAsia="Times New Roman" w:hAnsi="Times New Roman" w:cs="Times New Roman"/>
          <w:sz w:val="22"/>
          <w:szCs w:val="23"/>
        </w:rPr>
      </w:pPr>
      <w:r w:rsidRPr="0030130D">
        <w:rPr>
          <w:rFonts w:ascii="Times New Roman" w:eastAsia="Times New Roman" w:hAnsi="Times New Roman" w:cs="Times New Roman"/>
          <w:b/>
          <w:sz w:val="22"/>
          <w:szCs w:val="23"/>
        </w:rPr>
        <w:t>CONCLUSIONS</w:t>
      </w:r>
      <w:r w:rsidR="0030130D" w:rsidRPr="0030130D">
        <w:rPr>
          <w:rFonts w:ascii="Times New Roman" w:eastAsia="Times New Roman" w:hAnsi="Times New Roman" w:cs="Times New Roman"/>
          <w:b/>
          <w:sz w:val="22"/>
          <w:szCs w:val="23"/>
        </w:rPr>
        <w:t xml:space="preserve">: </w:t>
      </w:r>
      <w:r w:rsidR="00CC5899" w:rsidRPr="0030130D">
        <w:rPr>
          <w:rFonts w:ascii="Times New Roman" w:eastAsia="Times New Roman" w:hAnsi="Times New Roman" w:cs="Times New Roman"/>
          <w:sz w:val="22"/>
          <w:szCs w:val="23"/>
        </w:rPr>
        <w:t>These findings demonstrate that there are disease-specific T cell clones across</w:t>
      </w:r>
      <w:r w:rsidR="005128FA" w:rsidRPr="0030130D">
        <w:rPr>
          <w:rFonts w:ascii="Times New Roman" w:eastAsia="Times New Roman" w:hAnsi="Times New Roman" w:cs="Times New Roman"/>
          <w:sz w:val="22"/>
          <w:szCs w:val="23"/>
        </w:rPr>
        <w:t xml:space="preserve"> patients </w:t>
      </w:r>
      <w:r w:rsidR="007413C4" w:rsidRPr="0030130D">
        <w:rPr>
          <w:rFonts w:ascii="Times New Roman" w:eastAsia="Times New Roman" w:hAnsi="Times New Roman" w:cs="Times New Roman"/>
          <w:sz w:val="22"/>
          <w:szCs w:val="23"/>
        </w:rPr>
        <w:t>with inflammatory myopathies</w:t>
      </w:r>
      <w:r w:rsidR="00CC5899" w:rsidRPr="0030130D">
        <w:rPr>
          <w:rFonts w:ascii="Times New Roman" w:eastAsia="Times New Roman" w:hAnsi="Times New Roman" w:cs="Times New Roman"/>
          <w:sz w:val="22"/>
          <w:szCs w:val="23"/>
        </w:rPr>
        <w:t xml:space="preserve"> that likely target the same antigen. </w:t>
      </w:r>
      <w:r w:rsidR="00380920" w:rsidRPr="0030130D">
        <w:rPr>
          <w:rFonts w:ascii="Times New Roman" w:eastAsia="Times New Roman" w:hAnsi="Times New Roman" w:cs="Times New Roman"/>
          <w:sz w:val="22"/>
          <w:szCs w:val="23"/>
        </w:rPr>
        <w:t>These results also suggest that the analy</w:t>
      </w:r>
      <w:r w:rsidR="00591A9F" w:rsidRPr="0030130D">
        <w:rPr>
          <w:rFonts w:ascii="Times New Roman" w:eastAsia="Times New Roman" w:hAnsi="Times New Roman" w:cs="Times New Roman"/>
          <w:sz w:val="22"/>
          <w:szCs w:val="23"/>
        </w:rPr>
        <w:t>tic</w:t>
      </w:r>
      <w:r w:rsidR="00380920" w:rsidRPr="0030130D">
        <w:rPr>
          <w:rFonts w:ascii="Times New Roman" w:eastAsia="Times New Roman" w:hAnsi="Times New Roman" w:cs="Times New Roman"/>
          <w:sz w:val="22"/>
          <w:szCs w:val="23"/>
        </w:rPr>
        <w:t xml:space="preserve"> approach is economical.</w:t>
      </w:r>
      <w:r w:rsidR="00005972" w:rsidRPr="0030130D">
        <w:rPr>
          <w:rFonts w:ascii="Times New Roman" w:eastAsia="Times New Roman" w:hAnsi="Times New Roman" w:cs="Times New Roman"/>
          <w:sz w:val="22"/>
          <w:szCs w:val="23"/>
        </w:rPr>
        <w:t xml:space="preserve"> </w:t>
      </w:r>
      <w:r w:rsidR="00591A9F" w:rsidRPr="0030130D">
        <w:rPr>
          <w:rFonts w:ascii="Times New Roman" w:eastAsia="Times New Roman" w:hAnsi="Times New Roman" w:cs="Times New Roman"/>
          <w:sz w:val="22"/>
          <w:szCs w:val="23"/>
        </w:rPr>
        <w:t>This</w:t>
      </w:r>
      <w:r w:rsidR="00CC5899" w:rsidRPr="0030130D">
        <w:rPr>
          <w:rFonts w:ascii="Times New Roman" w:eastAsia="Times New Roman" w:hAnsi="Times New Roman" w:cs="Times New Roman"/>
          <w:sz w:val="22"/>
          <w:szCs w:val="23"/>
        </w:rPr>
        <w:t xml:space="preserve"> type of analysis can be applied to many diseases, autoimmune and otherwise, to discover disease-relevant T cells and inform further mechanistic studies.</w:t>
      </w:r>
    </w:p>
    <w:p w14:paraId="1C50D31A" w14:textId="77777777" w:rsidR="0030130D" w:rsidRPr="0030130D" w:rsidRDefault="0030130D" w:rsidP="0030130D">
      <w:pPr>
        <w:ind w:firstLine="720"/>
        <w:jc w:val="both"/>
        <w:rPr>
          <w:rFonts w:ascii="Times New Roman" w:eastAsia="Times New Roman" w:hAnsi="Times New Roman" w:cs="Times New Roman"/>
          <w:sz w:val="22"/>
          <w:szCs w:val="23"/>
        </w:rPr>
        <w:sectPr w:rsidR="0030130D" w:rsidRPr="0030130D" w:rsidSect="0030130D">
          <w:pgSz w:w="12240" w:h="15840"/>
          <w:pgMar w:top="720" w:right="720" w:bottom="720" w:left="720" w:header="0" w:footer="0" w:gutter="0"/>
          <w:cols w:space="0"/>
          <w:docGrid w:linePitch="360"/>
        </w:sectPr>
      </w:pPr>
    </w:p>
    <w:p w14:paraId="46DE9876" w14:textId="32C074E2" w:rsidR="0030130D" w:rsidRPr="0030130D" w:rsidRDefault="0030130D" w:rsidP="0030130D">
      <w:pPr>
        <w:ind w:firstLine="720"/>
        <w:jc w:val="both"/>
        <w:rPr>
          <w:rFonts w:ascii="Times New Roman" w:eastAsia="Times New Roman" w:hAnsi="Times New Roman" w:cs="Times New Roman"/>
          <w:sz w:val="18"/>
          <w:szCs w:val="23"/>
        </w:rPr>
      </w:pPr>
    </w:p>
    <w:p w14:paraId="5EA653D5" w14:textId="3AE82643" w:rsidR="009954C8" w:rsidRPr="0030130D" w:rsidRDefault="0030130D" w:rsidP="0030130D">
      <w:pPr>
        <w:spacing w:line="282" w:lineRule="exact"/>
        <w:jc w:val="both"/>
        <w:rPr>
          <w:rFonts w:ascii="Times New Roman" w:eastAsia="Times New Roman" w:hAnsi="Times New Roman" w:cs="Times New Roman"/>
          <w:sz w:val="22"/>
          <w:szCs w:val="23"/>
        </w:rPr>
      </w:pPr>
      <w:r w:rsidRPr="0030130D">
        <w:rPr>
          <w:rFonts w:ascii="Times New Roman" w:eastAsia="Times New Roman" w:hAnsi="Times New Roman" w:cs="Times New Roman"/>
          <w:b/>
          <w:sz w:val="22"/>
          <w:szCs w:val="23"/>
        </w:rPr>
        <w:t>CONTENT CATEGORY</w:t>
      </w:r>
      <w:r w:rsidRPr="0030130D">
        <w:rPr>
          <w:rFonts w:ascii="Times New Roman" w:eastAsia="Times New Roman" w:hAnsi="Times New Roman" w:cs="Times New Roman"/>
          <w:b/>
          <w:sz w:val="22"/>
          <w:szCs w:val="23"/>
        </w:rPr>
        <w:t xml:space="preserve">: </w:t>
      </w:r>
      <w:r w:rsidRPr="0030130D">
        <w:rPr>
          <w:rFonts w:ascii="Times New Roman" w:eastAsia="Times New Roman" w:hAnsi="Times New Roman" w:cs="Times New Roman"/>
          <w:sz w:val="22"/>
          <w:szCs w:val="23"/>
        </w:rPr>
        <w:t>Immunology, Pathology</w:t>
      </w:r>
    </w:p>
    <w:sectPr w:rsidR="009954C8" w:rsidRPr="0030130D" w:rsidSect="0030130D">
      <w:type w:val="continuous"/>
      <w:pgSz w:w="12240" w:h="15840"/>
      <w:pgMar w:top="720" w:right="720" w:bottom="720" w:left="720" w:header="0" w:footer="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BE70F" w14:textId="77777777" w:rsidR="001A6473" w:rsidRDefault="001A6473" w:rsidP="00E77589">
      <w:r>
        <w:separator/>
      </w:r>
    </w:p>
  </w:endnote>
  <w:endnote w:type="continuationSeparator" w:id="0">
    <w:p w14:paraId="4E1F035A" w14:textId="77777777" w:rsidR="001A6473" w:rsidRDefault="001A6473" w:rsidP="00E77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306DF" w14:textId="77777777" w:rsidR="001A6473" w:rsidRDefault="001A6473" w:rsidP="00E77589">
      <w:r>
        <w:separator/>
      </w:r>
    </w:p>
  </w:footnote>
  <w:footnote w:type="continuationSeparator" w:id="0">
    <w:p w14:paraId="33FFD43F" w14:textId="77777777" w:rsidR="001A6473" w:rsidRDefault="001A6473" w:rsidP="00E77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5EAA12DC"/>
    <w:lvl w:ilvl="0" w:tplc="F244DF32">
      <w:start w:val="1"/>
      <w:numFmt w:val="lowerRoman"/>
      <w:lvlText w:val="%1"/>
      <w:lvlJc w:val="left"/>
      <w:rPr>
        <w:sz w:val="16"/>
        <w:szCs w:val="16"/>
      </w:rPr>
    </w:lvl>
    <w:lvl w:ilvl="1" w:tplc="687CEFA8">
      <w:start w:val="1"/>
      <w:numFmt w:val="bullet"/>
      <w:lvlText w:val=""/>
      <w:lvlJc w:val="left"/>
    </w:lvl>
    <w:lvl w:ilvl="2" w:tplc="8646A872">
      <w:start w:val="1"/>
      <w:numFmt w:val="bullet"/>
      <w:lvlText w:val=""/>
      <w:lvlJc w:val="left"/>
    </w:lvl>
    <w:lvl w:ilvl="3" w:tplc="C7301E08">
      <w:start w:val="1"/>
      <w:numFmt w:val="bullet"/>
      <w:lvlText w:val=""/>
      <w:lvlJc w:val="left"/>
    </w:lvl>
    <w:lvl w:ilvl="4" w:tplc="9A6C9FF6">
      <w:start w:val="1"/>
      <w:numFmt w:val="bullet"/>
      <w:lvlText w:val=""/>
      <w:lvlJc w:val="left"/>
    </w:lvl>
    <w:lvl w:ilvl="5" w:tplc="4F02731A">
      <w:start w:val="1"/>
      <w:numFmt w:val="bullet"/>
      <w:lvlText w:val=""/>
      <w:lvlJc w:val="left"/>
    </w:lvl>
    <w:lvl w:ilvl="6" w:tplc="40BAA360">
      <w:start w:val="1"/>
      <w:numFmt w:val="bullet"/>
      <w:lvlText w:val=""/>
      <w:lvlJc w:val="left"/>
    </w:lvl>
    <w:lvl w:ilvl="7" w:tplc="259E62D6">
      <w:start w:val="1"/>
      <w:numFmt w:val="bullet"/>
      <w:lvlText w:val=""/>
      <w:lvlJc w:val="left"/>
    </w:lvl>
    <w:lvl w:ilvl="8" w:tplc="1F92A89A">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788"/>
    <w:rsid w:val="00005972"/>
    <w:rsid w:val="000B3456"/>
    <w:rsid w:val="000D726E"/>
    <w:rsid w:val="000E22E8"/>
    <w:rsid w:val="000E7487"/>
    <w:rsid w:val="000F5A8C"/>
    <w:rsid w:val="00104059"/>
    <w:rsid w:val="001A2A7E"/>
    <w:rsid w:val="001A4554"/>
    <w:rsid w:val="001A6473"/>
    <w:rsid w:val="001C64C6"/>
    <w:rsid w:val="002047A7"/>
    <w:rsid w:val="002607C3"/>
    <w:rsid w:val="002A4567"/>
    <w:rsid w:val="002B7740"/>
    <w:rsid w:val="002C69A5"/>
    <w:rsid w:val="002D5594"/>
    <w:rsid w:val="0030130D"/>
    <w:rsid w:val="00322481"/>
    <w:rsid w:val="00324544"/>
    <w:rsid w:val="0034697C"/>
    <w:rsid w:val="003729A3"/>
    <w:rsid w:val="00380920"/>
    <w:rsid w:val="00400A2A"/>
    <w:rsid w:val="00444E5C"/>
    <w:rsid w:val="004E0623"/>
    <w:rsid w:val="005128FA"/>
    <w:rsid w:val="00535934"/>
    <w:rsid w:val="00536F7D"/>
    <w:rsid w:val="005430A2"/>
    <w:rsid w:val="005514A4"/>
    <w:rsid w:val="005518C1"/>
    <w:rsid w:val="00591A9F"/>
    <w:rsid w:val="005A4848"/>
    <w:rsid w:val="005D603E"/>
    <w:rsid w:val="00604A41"/>
    <w:rsid w:val="0062065A"/>
    <w:rsid w:val="00664CAC"/>
    <w:rsid w:val="0066606E"/>
    <w:rsid w:val="00675432"/>
    <w:rsid w:val="00686B38"/>
    <w:rsid w:val="006B77D6"/>
    <w:rsid w:val="00723858"/>
    <w:rsid w:val="007413C4"/>
    <w:rsid w:val="00747EB0"/>
    <w:rsid w:val="007533FB"/>
    <w:rsid w:val="00790B8A"/>
    <w:rsid w:val="007A00A0"/>
    <w:rsid w:val="00820FA2"/>
    <w:rsid w:val="00860BCC"/>
    <w:rsid w:val="00870023"/>
    <w:rsid w:val="008866BB"/>
    <w:rsid w:val="008A4406"/>
    <w:rsid w:val="009919DE"/>
    <w:rsid w:val="009954C8"/>
    <w:rsid w:val="009C4762"/>
    <w:rsid w:val="009E4D11"/>
    <w:rsid w:val="00A25A38"/>
    <w:rsid w:val="00A638C8"/>
    <w:rsid w:val="00A76119"/>
    <w:rsid w:val="00AD7D0E"/>
    <w:rsid w:val="00B0525A"/>
    <w:rsid w:val="00B136D2"/>
    <w:rsid w:val="00B83EF7"/>
    <w:rsid w:val="00BD697F"/>
    <w:rsid w:val="00C04EC6"/>
    <w:rsid w:val="00C10D7E"/>
    <w:rsid w:val="00C61D47"/>
    <w:rsid w:val="00C67286"/>
    <w:rsid w:val="00C80DC0"/>
    <w:rsid w:val="00C82089"/>
    <w:rsid w:val="00C83BFE"/>
    <w:rsid w:val="00CC46AE"/>
    <w:rsid w:val="00CC5899"/>
    <w:rsid w:val="00CD52C8"/>
    <w:rsid w:val="00D240B9"/>
    <w:rsid w:val="00D464B9"/>
    <w:rsid w:val="00D805FB"/>
    <w:rsid w:val="00D82B9B"/>
    <w:rsid w:val="00DB10E5"/>
    <w:rsid w:val="00DB3034"/>
    <w:rsid w:val="00DC7B5A"/>
    <w:rsid w:val="00E00D7A"/>
    <w:rsid w:val="00E47BD1"/>
    <w:rsid w:val="00E62833"/>
    <w:rsid w:val="00E756B2"/>
    <w:rsid w:val="00E77589"/>
    <w:rsid w:val="00EF5127"/>
    <w:rsid w:val="00EF73C8"/>
    <w:rsid w:val="00F1730E"/>
    <w:rsid w:val="00F2619B"/>
    <w:rsid w:val="00F57746"/>
    <w:rsid w:val="00F917EA"/>
    <w:rsid w:val="00F960F1"/>
    <w:rsid w:val="00FB5617"/>
    <w:rsid w:val="00FE77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D317E8"/>
  <w15:chartTrackingRefBased/>
  <w15:docId w15:val="{0CA1D99A-93FD-47AA-B4CE-6B6065B2E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E77589"/>
    <w:rPr>
      <w:rFonts w:eastAsia="DengXian" w:cs="Times New Roman"/>
    </w:rPr>
  </w:style>
  <w:style w:type="character" w:customStyle="1" w:styleId="EndnoteTextChar">
    <w:name w:val="Endnote Text Char"/>
    <w:basedOn w:val="DefaultParagraphFont"/>
    <w:link w:val="EndnoteText"/>
    <w:uiPriority w:val="99"/>
    <w:semiHidden/>
    <w:rsid w:val="00E77589"/>
    <w:rPr>
      <w:rFonts w:eastAsia="DengXian" w:cs="Times New Roman"/>
    </w:rPr>
  </w:style>
  <w:style w:type="character" w:styleId="EndnoteReference">
    <w:name w:val="endnote reference"/>
    <w:uiPriority w:val="99"/>
    <w:semiHidden/>
    <w:unhideWhenUsed/>
    <w:rsid w:val="00E77589"/>
    <w:rPr>
      <w:vertAlign w:val="superscript"/>
    </w:rPr>
  </w:style>
  <w:style w:type="character" w:styleId="CommentReference">
    <w:name w:val="annotation reference"/>
    <w:basedOn w:val="DefaultParagraphFont"/>
    <w:uiPriority w:val="99"/>
    <w:semiHidden/>
    <w:unhideWhenUsed/>
    <w:rsid w:val="009919DE"/>
    <w:rPr>
      <w:sz w:val="16"/>
      <w:szCs w:val="16"/>
    </w:rPr>
  </w:style>
  <w:style w:type="paragraph" w:styleId="CommentText">
    <w:name w:val="annotation text"/>
    <w:basedOn w:val="Normal"/>
    <w:link w:val="CommentTextChar"/>
    <w:uiPriority w:val="99"/>
    <w:semiHidden/>
    <w:unhideWhenUsed/>
    <w:rsid w:val="009919DE"/>
  </w:style>
  <w:style w:type="character" w:customStyle="1" w:styleId="CommentTextChar">
    <w:name w:val="Comment Text Char"/>
    <w:basedOn w:val="DefaultParagraphFont"/>
    <w:link w:val="CommentText"/>
    <w:uiPriority w:val="99"/>
    <w:semiHidden/>
    <w:rsid w:val="009919DE"/>
  </w:style>
  <w:style w:type="paragraph" w:styleId="BalloonText">
    <w:name w:val="Balloon Text"/>
    <w:basedOn w:val="Normal"/>
    <w:link w:val="BalloonTextChar"/>
    <w:uiPriority w:val="99"/>
    <w:semiHidden/>
    <w:unhideWhenUsed/>
    <w:rsid w:val="009919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9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347281">
      <w:bodyDiv w:val="1"/>
      <w:marLeft w:val="0"/>
      <w:marRight w:val="0"/>
      <w:marTop w:val="0"/>
      <w:marBottom w:val="0"/>
      <w:divBdr>
        <w:top w:val="none" w:sz="0" w:space="0" w:color="auto"/>
        <w:left w:val="none" w:sz="0" w:space="0" w:color="auto"/>
        <w:bottom w:val="none" w:sz="0" w:space="0" w:color="auto"/>
        <w:right w:val="none" w:sz="0" w:space="0" w:color="auto"/>
      </w:divBdr>
    </w:div>
    <w:div w:id="72542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AD891-56CE-41A6-A5CC-FD9654A84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cp:lastModifiedBy>J Li</cp:lastModifiedBy>
  <cp:revision>2</cp:revision>
  <dcterms:created xsi:type="dcterms:W3CDTF">2018-10-25T22:02:00Z</dcterms:created>
  <dcterms:modified xsi:type="dcterms:W3CDTF">2018-10-25T22:02:00Z</dcterms:modified>
</cp:coreProperties>
</file>