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A3E66" w14:textId="79F5B6D2" w:rsidR="000446EB" w:rsidRPr="00410EB1" w:rsidRDefault="00295BBF" w:rsidP="00880F5D">
      <w:pPr>
        <w:spacing w:line="240" w:lineRule="auto"/>
        <w:jc w:val="both"/>
      </w:pPr>
      <w:r w:rsidRPr="00880F5D">
        <w:rPr>
          <w:b/>
          <w:caps/>
        </w:rPr>
        <w:t>Diabetic Retinopathy in the Bronx and Myanmar: A Matched Cohort Study</w:t>
      </w:r>
    </w:p>
    <w:p w14:paraId="52DBD49A" w14:textId="62739092" w:rsidR="00295BBF" w:rsidRPr="00880F5D" w:rsidRDefault="00295BBF" w:rsidP="00880F5D">
      <w:pPr>
        <w:widowControl w:val="0"/>
        <w:autoSpaceDE w:val="0"/>
        <w:autoSpaceDN w:val="0"/>
        <w:adjustRightInd w:val="0"/>
        <w:spacing w:after="120" w:line="240" w:lineRule="auto"/>
        <w:jc w:val="both"/>
        <w:rPr>
          <w:rFonts w:eastAsia="MS Mincho"/>
          <w:sz w:val="22"/>
          <w:szCs w:val="22"/>
        </w:rPr>
      </w:pPr>
      <w:r w:rsidRPr="00880F5D">
        <w:rPr>
          <w:b/>
          <w:sz w:val="22"/>
          <w:szCs w:val="22"/>
        </w:rPr>
        <w:t>Lin, Kira</w:t>
      </w:r>
      <w:r w:rsidRPr="00880F5D">
        <w:rPr>
          <w:position w:val="8"/>
          <w:sz w:val="22"/>
          <w:szCs w:val="22"/>
        </w:rPr>
        <w:t>1</w:t>
      </w:r>
      <w:r w:rsidRPr="00880F5D">
        <w:rPr>
          <w:sz w:val="22"/>
          <w:szCs w:val="22"/>
        </w:rPr>
        <w:t>;</w:t>
      </w:r>
      <w:r w:rsidRPr="00880F5D">
        <w:rPr>
          <w:b/>
          <w:bCs/>
          <w:sz w:val="22"/>
          <w:szCs w:val="22"/>
        </w:rPr>
        <w:t xml:space="preserve"> </w:t>
      </w:r>
      <w:r w:rsidRPr="00880F5D">
        <w:rPr>
          <w:sz w:val="22"/>
          <w:szCs w:val="22"/>
        </w:rPr>
        <w:t>Schlesinger, Max</w:t>
      </w:r>
      <w:r w:rsidRPr="00880F5D">
        <w:rPr>
          <w:position w:val="8"/>
          <w:sz w:val="22"/>
          <w:szCs w:val="22"/>
        </w:rPr>
        <w:t>1</w:t>
      </w:r>
      <w:r w:rsidRPr="00880F5D">
        <w:rPr>
          <w:sz w:val="22"/>
          <w:szCs w:val="22"/>
        </w:rPr>
        <w:t>; Shrivastava, Anurag</w:t>
      </w:r>
      <w:r w:rsidRPr="00880F5D">
        <w:rPr>
          <w:position w:val="8"/>
          <w:sz w:val="22"/>
          <w:szCs w:val="22"/>
        </w:rPr>
        <w:t>1</w:t>
      </w:r>
      <w:r w:rsidRPr="00880F5D">
        <w:rPr>
          <w:sz w:val="22"/>
          <w:szCs w:val="22"/>
        </w:rPr>
        <w:t xml:space="preserve">; </w:t>
      </w:r>
      <w:proofErr w:type="spellStart"/>
      <w:r w:rsidRPr="00880F5D">
        <w:rPr>
          <w:sz w:val="22"/>
          <w:szCs w:val="22"/>
        </w:rPr>
        <w:t>Rubaltelli</w:t>
      </w:r>
      <w:proofErr w:type="spellEnd"/>
      <w:r w:rsidRPr="00880F5D">
        <w:rPr>
          <w:sz w:val="22"/>
          <w:szCs w:val="22"/>
        </w:rPr>
        <w:t>, David</w:t>
      </w:r>
      <w:r w:rsidRPr="00880F5D">
        <w:rPr>
          <w:position w:val="8"/>
          <w:sz w:val="22"/>
          <w:szCs w:val="22"/>
        </w:rPr>
        <w:t>1</w:t>
      </w:r>
      <w:r w:rsidRPr="00880F5D">
        <w:rPr>
          <w:sz w:val="22"/>
          <w:szCs w:val="22"/>
        </w:rPr>
        <w:t>; Klein, Richard</w:t>
      </w:r>
      <w:r w:rsidRPr="00880F5D">
        <w:rPr>
          <w:position w:val="8"/>
          <w:sz w:val="22"/>
          <w:szCs w:val="22"/>
        </w:rPr>
        <w:t>1</w:t>
      </w:r>
    </w:p>
    <w:p w14:paraId="601F089B" w14:textId="2EF80E71" w:rsidR="00BE461E" w:rsidRPr="00880F5D" w:rsidRDefault="00295BBF" w:rsidP="00880F5D">
      <w:pPr>
        <w:widowControl w:val="0"/>
        <w:autoSpaceDE w:val="0"/>
        <w:autoSpaceDN w:val="0"/>
        <w:adjustRightInd w:val="0"/>
        <w:spacing w:after="120" w:line="240" w:lineRule="auto"/>
        <w:jc w:val="both"/>
        <w:rPr>
          <w:sz w:val="21"/>
          <w:szCs w:val="21"/>
        </w:rPr>
      </w:pPr>
      <w:r w:rsidRPr="00880F5D">
        <w:rPr>
          <w:sz w:val="21"/>
          <w:szCs w:val="21"/>
        </w:rPr>
        <w:t>1. Montefiore Medical Center, Bronx, NY, 10461, United States.</w:t>
      </w:r>
    </w:p>
    <w:p w14:paraId="2F6A6170" w14:textId="0FFFD49B" w:rsidR="00BE461E" w:rsidRPr="00880F5D" w:rsidRDefault="00BE461E" w:rsidP="00880F5D">
      <w:pPr>
        <w:spacing w:line="240" w:lineRule="auto"/>
        <w:jc w:val="both"/>
        <w:rPr>
          <w:sz w:val="22"/>
          <w:szCs w:val="22"/>
        </w:rPr>
      </w:pPr>
      <w:r w:rsidRPr="00880F5D">
        <w:rPr>
          <w:b/>
          <w:sz w:val="22"/>
          <w:szCs w:val="22"/>
        </w:rPr>
        <w:t>BACKGROUND</w:t>
      </w:r>
      <w:r w:rsidR="00333DAE" w:rsidRPr="00880F5D">
        <w:rPr>
          <w:b/>
          <w:sz w:val="22"/>
          <w:szCs w:val="22"/>
        </w:rPr>
        <w:t xml:space="preserve">: </w:t>
      </w:r>
      <w:r w:rsidR="00333DAE" w:rsidRPr="00880F5D">
        <w:rPr>
          <w:sz w:val="22"/>
          <w:szCs w:val="22"/>
        </w:rPr>
        <w:t>Diabetic eye disease is a leading cause of preventable blindness, both domestically and abroad. Our population in the Bronx, New York is particularly vulnerable to diabetic complications, largely attributable to the high prevalence of poorly controlled disease, despite relatively easy access to primary care. Developing nations such as Myanmar have relatively poor access to primary care, and should have higher rates of related complications. We aim in this study to compare the prevalence and severity of diabetic retinopathy (DR) in the Bronx and Myanmar, with additional analysis of systemic and ocular comorbidities in these populations.</w:t>
      </w:r>
    </w:p>
    <w:p w14:paraId="7C9E6086" w14:textId="39493643" w:rsidR="00BE461E" w:rsidRPr="00880F5D" w:rsidRDefault="00BE461E" w:rsidP="00880F5D">
      <w:pPr>
        <w:widowControl w:val="0"/>
        <w:autoSpaceDE w:val="0"/>
        <w:autoSpaceDN w:val="0"/>
        <w:adjustRightInd w:val="0"/>
        <w:spacing w:after="120" w:line="240" w:lineRule="auto"/>
        <w:jc w:val="both"/>
        <w:rPr>
          <w:sz w:val="22"/>
          <w:szCs w:val="22"/>
        </w:rPr>
      </w:pPr>
      <w:r w:rsidRPr="00880F5D">
        <w:rPr>
          <w:b/>
          <w:sz w:val="22"/>
          <w:szCs w:val="22"/>
        </w:rPr>
        <w:t>METHODS:</w:t>
      </w:r>
      <w:r w:rsidR="000446EB" w:rsidRPr="00880F5D">
        <w:rPr>
          <w:sz w:val="22"/>
          <w:szCs w:val="22"/>
        </w:rPr>
        <w:t xml:space="preserve"> </w:t>
      </w:r>
      <w:r w:rsidR="00333DAE" w:rsidRPr="00880F5D">
        <w:rPr>
          <w:sz w:val="22"/>
          <w:szCs w:val="22"/>
        </w:rPr>
        <w:t>We retrospectively compared a database of diabetic patients who underwent telemedicine screening for DR at Montefiore clini</w:t>
      </w:r>
      <w:r w:rsidR="00585AD9" w:rsidRPr="00880F5D">
        <w:rPr>
          <w:sz w:val="22"/>
          <w:szCs w:val="22"/>
        </w:rPr>
        <w:t>cs in the Bronx from June 2014­</w:t>
      </w:r>
      <w:r w:rsidR="00333DAE" w:rsidRPr="00880F5D">
        <w:rPr>
          <w:sz w:val="22"/>
          <w:szCs w:val="22"/>
        </w:rPr>
        <w:t xml:space="preserve">April 2017 (Telemedicine Group) and patients screened for DR in rural Myanmar in 2016 by Montefiore physicians (Myanmar Group). For further analysis, we then compared the Myanmar Group to an age­ and </w:t>
      </w:r>
      <w:proofErr w:type="spellStart"/>
      <w:r w:rsidR="00333DAE" w:rsidRPr="00880F5D">
        <w:rPr>
          <w:sz w:val="22"/>
          <w:szCs w:val="22"/>
        </w:rPr>
        <w:t>gender­matched</w:t>
      </w:r>
      <w:proofErr w:type="spellEnd"/>
      <w:r w:rsidR="00333DAE" w:rsidRPr="00880F5D">
        <w:rPr>
          <w:sz w:val="22"/>
          <w:szCs w:val="22"/>
        </w:rPr>
        <w:t xml:space="preserve"> sub­group (Bronx sub­group) from within the Telemedicine Group. </w:t>
      </w:r>
    </w:p>
    <w:p w14:paraId="441F56F4" w14:textId="33428081" w:rsidR="00BE461E" w:rsidRPr="00880F5D" w:rsidRDefault="00BE461E" w:rsidP="00880F5D">
      <w:pPr>
        <w:spacing w:line="240" w:lineRule="auto"/>
        <w:jc w:val="both"/>
        <w:rPr>
          <w:sz w:val="22"/>
          <w:szCs w:val="22"/>
        </w:rPr>
      </w:pPr>
      <w:r w:rsidRPr="00880F5D">
        <w:rPr>
          <w:b/>
          <w:sz w:val="22"/>
          <w:szCs w:val="22"/>
        </w:rPr>
        <w:t>RESULTS:</w:t>
      </w:r>
      <w:r w:rsidR="000446EB" w:rsidRPr="00880F5D">
        <w:rPr>
          <w:sz w:val="22"/>
          <w:szCs w:val="22"/>
        </w:rPr>
        <w:t xml:space="preserve"> </w:t>
      </w:r>
      <w:r w:rsidR="00333DAE" w:rsidRPr="00880F5D">
        <w:rPr>
          <w:sz w:val="22"/>
          <w:szCs w:val="22"/>
        </w:rPr>
        <w:t>There were 97 patients in the Myanmar Group and 3205 in the Telemedi</w:t>
      </w:r>
      <w:r w:rsidR="00572A01" w:rsidRPr="00880F5D">
        <w:rPr>
          <w:sz w:val="22"/>
          <w:szCs w:val="22"/>
        </w:rPr>
        <w:t>cine Group. The Bronx sub­</w:t>
      </w:r>
      <w:r w:rsidR="00333DAE" w:rsidRPr="00880F5D">
        <w:rPr>
          <w:sz w:val="22"/>
          <w:szCs w:val="22"/>
        </w:rPr>
        <w:t xml:space="preserve">group included 283 patients from the Telemedicine Group. Basic demographic data is in Figure 1. Rates of </w:t>
      </w:r>
      <w:proofErr w:type="spellStart"/>
      <w:r w:rsidR="00333DAE" w:rsidRPr="00880F5D">
        <w:rPr>
          <w:sz w:val="22"/>
          <w:szCs w:val="22"/>
        </w:rPr>
        <w:t>vision­threatening</w:t>
      </w:r>
      <w:proofErr w:type="spellEnd"/>
      <w:r w:rsidR="00333DAE" w:rsidRPr="00880F5D">
        <w:rPr>
          <w:sz w:val="22"/>
          <w:szCs w:val="22"/>
        </w:rPr>
        <w:t xml:space="preserve"> retinopathy were significantly higher in the Myanmar g</w:t>
      </w:r>
      <w:r w:rsidR="00572A01" w:rsidRPr="00880F5D">
        <w:rPr>
          <w:sz w:val="22"/>
          <w:szCs w:val="22"/>
        </w:rPr>
        <w:t>roup compared to the Bronx sub­</w:t>
      </w:r>
      <w:r w:rsidR="00333DAE" w:rsidRPr="00880F5D">
        <w:rPr>
          <w:sz w:val="22"/>
          <w:szCs w:val="22"/>
        </w:rPr>
        <w:t xml:space="preserve">group (10% vs 2.8% for severe </w:t>
      </w:r>
      <w:proofErr w:type="spellStart"/>
      <w:r w:rsidR="00333DAE" w:rsidRPr="00880F5D">
        <w:rPr>
          <w:sz w:val="22"/>
          <w:szCs w:val="22"/>
        </w:rPr>
        <w:t>non­proliferative</w:t>
      </w:r>
      <w:proofErr w:type="spellEnd"/>
      <w:r w:rsidR="00333DAE" w:rsidRPr="00880F5D">
        <w:rPr>
          <w:sz w:val="22"/>
          <w:szCs w:val="22"/>
        </w:rPr>
        <w:t xml:space="preserve"> DR, p=0.02; 13.5% vs 0.35% for proliferative DR, p=0.00). In contrast, for less severe retinopathy, Myanmar had significantly lower rates than the Bronx sub­group (13.5% vs 21.9% for mild/moderate </w:t>
      </w:r>
      <w:proofErr w:type="spellStart"/>
      <w:r w:rsidR="00333DAE" w:rsidRPr="00880F5D">
        <w:rPr>
          <w:sz w:val="22"/>
          <w:szCs w:val="22"/>
        </w:rPr>
        <w:t>non­proliferative</w:t>
      </w:r>
      <w:proofErr w:type="spellEnd"/>
      <w:r w:rsidR="00333DAE" w:rsidRPr="00880F5D">
        <w:rPr>
          <w:sz w:val="22"/>
          <w:szCs w:val="22"/>
        </w:rPr>
        <w:t xml:space="preserve"> DR, p=0.02). There were also differences in medication use: 30% of patients in the Myanmar group used no diabetic medication, compared to 16% in the Bronx sub­group (p=0.01); 51% of Myanmar patients used 1 medication compared to 31% in the Bronx (p=0.00); 1% of Myanmar patients used insulin compared with 33% in the Bronx (p=0.00). Similar proportions used 2 or more medications. Other data regarding comorbidities is in Figure 2.</w:t>
      </w:r>
      <w:r w:rsidR="00370FEE" w:rsidRPr="00880F5D">
        <w:rPr>
          <w:sz w:val="22"/>
          <w:szCs w:val="22"/>
        </w:rPr>
        <w:t xml:space="preserve"> </w:t>
      </w:r>
      <w:r w:rsidR="00142BE6" w:rsidRPr="00880F5D">
        <w:rPr>
          <w:sz w:val="22"/>
          <w:szCs w:val="22"/>
        </w:rPr>
        <w:t xml:space="preserve"> </w:t>
      </w:r>
    </w:p>
    <w:p w14:paraId="01579ED1" w14:textId="5F385F61" w:rsidR="00BE461E" w:rsidRPr="00880F5D" w:rsidRDefault="00BE461E" w:rsidP="00880F5D">
      <w:pPr>
        <w:spacing w:line="240" w:lineRule="auto"/>
        <w:jc w:val="both"/>
        <w:rPr>
          <w:sz w:val="22"/>
          <w:szCs w:val="22"/>
        </w:rPr>
      </w:pPr>
      <w:r w:rsidRPr="00880F5D">
        <w:rPr>
          <w:b/>
          <w:sz w:val="22"/>
          <w:szCs w:val="22"/>
        </w:rPr>
        <w:t>CONCLUSIONS:</w:t>
      </w:r>
      <w:r w:rsidR="000446EB" w:rsidRPr="00880F5D">
        <w:rPr>
          <w:sz w:val="22"/>
          <w:szCs w:val="22"/>
        </w:rPr>
        <w:t xml:space="preserve"> </w:t>
      </w:r>
      <w:r w:rsidR="00333DAE" w:rsidRPr="00880F5D">
        <w:rPr>
          <w:sz w:val="22"/>
          <w:szCs w:val="22"/>
        </w:rPr>
        <w:t>In our cohort, patients in Myanmar had a significantly higher prevalence of DR in its vision­ threatening stages, relative to the Bronx. Differences in other systemic and ocular comorbidities were less striking</w:t>
      </w:r>
      <w:r w:rsidR="00370FEE" w:rsidRPr="00880F5D">
        <w:rPr>
          <w:sz w:val="22"/>
          <w:szCs w:val="22"/>
        </w:rPr>
        <w:t>, suggesting that</w:t>
      </w:r>
      <w:r w:rsidR="00333DAE" w:rsidRPr="00880F5D">
        <w:rPr>
          <w:sz w:val="22"/>
          <w:szCs w:val="22"/>
        </w:rPr>
        <w:t xml:space="preserve"> </w:t>
      </w:r>
      <w:r w:rsidR="00370FEE" w:rsidRPr="00880F5D">
        <w:rPr>
          <w:sz w:val="22"/>
          <w:szCs w:val="22"/>
        </w:rPr>
        <w:t>d</w:t>
      </w:r>
      <w:r w:rsidR="00333DAE" w:rsidRPr="00880F5D">
        <w:rPr>
          <w:sz w:val="22"/>
          <w:szCs w:val="22"/>
        </w:rPr>
        <w:t xml:space="preserve">isparities in the treatment of diabetes, most notably with regard to the use of insulin, may be contributory. </w:t>
      </w:r>
      <w:r w:rsidR="00370FEE" w:rsidRPr="00880F5D">
        <w:rPr>
          <w:sz w:val="22"/>
          <w:szCs w:val="22"/>
        </w:rPr>
        <w:t xml:space="preserve">These data support the concept that </w:t>
      </w:r>
      <w:r w:rsidR="00455E77" w:rsidRPr="00880F5D">
        <w:rPr>
          <w:sz w:val="22"/>
          <w:szCs w:val="22"/>
        </w:rPr>
        <w:t>i</w:t>
      </w:r>
      <w:r w:rsidR="00333DAE" w:rsidRPr="00880F5D">
        <w:rPr>
          <w:sz w:val="22"/>
          <w:szCs w:val="22"/>
        </w:rPr>
        <w:t>mplementing robust diabetic screening</w:t>
      </w:r>
      <w:r w:rsidR="00370FEE" w:rsidRPr="00880F5D">
        <w:rPr>
          <w:sz w:val="22"/>
          <w:szCs w:val="22"/>
        </w:rPr>
        <w:t>,</w:t>
      </w:r>
      <w:r w:rsidR="00333DAE" w:rsidRPr="00880F5D">
        <w:rPr>
          <w:sz w:val="22"/>
          <w:szCs w:val="22"/>
        </w:rPr>
        <w:t xml:space="preserve"> education </w:t>
      </w:r>
      <w:r w:rsidR="00370FEE" w:rsidRPr="00880F5D">
        <w:rPr>
          <w:sz w:val="22"/>
          <w:szCs w:val="22"/>
        </w:rPr>
        <w:t xml:space="preserve">and treatment </w:t>
      </w:r>
      <w:r w:rsidR="00333DAE" w:rsidRPr="00880F5D">
        <w:rPr>
          <w:sz w:val="22"/>
          <w:szCs w:val="22"/>
        </w:rPr>
        <w:t xml:space="preserve">programs in the developing world may ultimately prove useful in preventing vision threatening </w:t>
      </w:r>
      <w:proofErr w:type="gramStart"/>
      <w:r w:rsidR="00333DAE" w:rsidRPr="00880F5D">
        <w:rPr>
          <w:sz w:val="22"/>
          <w:szCs w:val="22"/>
        </w:rPr>
        <w:t>retinopathy .</w:t>
      </w:r>
      <w:proofErr w:type="gramEnd"/>
    </w:p>
    <w:tbl>
      <w:tblPr>
        <w:tblStyle w:val="TableGrid"/>
        <w:tblW w:w="0" w:type="auto"/>
        <w:tblLook w:val="04A0" w:firstRow="1" w:lastRow="0" w:firstColumn="1" w:lastColumn="0" w:noHBand="0" w:noVBand="1"/>
      </w:tblPr>
      <w:tblGrid>
        <w:gridCol w:w="4604"/>
        <w:gridCol w:w="4756"/>
      </w:tblGrid>
      <w:tr w:rsidR="00410EB1" w:rsidRPr="00215B9A" w14:paraId="38E8FA62" w14:textId="77777777" w:rsidTr="00671792">
        <w:trPr>
          <w:trHeight w:val="351"/>
        </w:trPr>
        <w:tc>
          <w:tcPr>
            <w:tcW w:w="5035" w:type="dxa"/>
            <w:tcBorders>
              <w:top w:val="nil"/>
              <w:left w:val="nil"/>
              <w:bottom w:val="nil"/>
              <w:right w:val="nil"/>
            </w:tcBorders>
          </w:tcPr>
          <w:p w14:paraId="55C0FC78" w14:textId="77777777" w:rsidR="00333DAE" w:rsidRPr="00880F5D" w:rsidRDefault="00333DAE" w:rsidP="00880F5D">
            <w:pPr>
              <w:widowControl w:val="0"/>
              <w:autoSpaceDE w:val="0"/>
              <w:autoSpaceDN w:val="0"/>
              <w:adjustRightInd w:val="0"/>
              <w:spacing w:after="120"/>
              <w:jc w:val="both"/>
              <w:rPr>
                <w:rFonts w:ascii="Times New Roman" w:hAnsi="Times New Roman" w:cs="Times New Roman"/>
                <w:sz w:val="22"/>
                <w:szCs w:val="22"/>
              </w:rPr>
            </w:pPr>
            <w:r w:rsidRPr="00880F5D">
              <w:rPr>
                <w:noProof/>
                <w:sz w:val="22"/>
                <w:szCs w:val="22"/>
                <w:lang w:eastAsia="zh-CN"/>
              </w:rPr>
              <w:drawing>
                <wp:inline distT="0" distB="0" distL="0" distR="0" wp14:anchorId="5CDA4ABB" wp14:editId="3D71CC90">
                  <wp:extent cx="2296366" cy="70592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3629" cy="769634"/>
                          </a:xfrm>
                          <a:prstGeom prst="rect">
                            <a:avLst/>
                          </a:prstGeom>
                          <a:noFill/>
                          <a:ln>
                            <a:noFill/>
                          </a:ln>
                        </pic:spPr>
                      </pic:pic>
                    </a:graphicData>
                  </a:graphic>
                </wp:inline>
              </w:drawing>
            </w:r>
          </w:p>
          <w:p w14:paraId="67A26733" w14:textId="77777777" w:rsidR="00333DAE" w:rsidRPr="00880F5D" w:rsidRDefault="00333DAE" w:rsidP="00880F5D">
            <w:pPr>
              <w:widowControl w:val="0"/>
              <w:autoSpaceDE w:val="0"/>
              <w:autoSpaceDN w:val="0"/>
              <w:adjustRightInd w:val="0"/>
              <w:spacing w:after="120"/>
              <w:jc w:val="both"/>
              <w:rPr>
                <w:rFonts w:ascii="Times New Roman" w:hAnsi="Times New Roman" w:cs="Times New Roman"/>
                <w:sz w:val="22"/>
                <w:szCs w:val="22"/>
              </w:rPr>
            </w:pPr>
            <w:r w:rsidRPr="00880F5D">
              <w:rPr>
                <w:sz w:val="20"/>
                <w:szCs w:val="20"/>
              </w:rPr>
              <w:t>Figure 1: Demographic Data</w:t>
            </w:r>
          </w:p>
        </w:tc>
        <w:tc>
          <w:tcPr>
            <w:tcW w:w="5035" w:type="dxa"/>
            <w:tcBorders>
              <w:top w:val="nil"/>
              <w:left w:val="nil"/>
              <w:bottom w:val="nil"/>
              <w:right w:val="nil"/>
            </w:tcBorders>
          </w:tcPr>
          <w:p w14:paraId="5C5E0709" w14:textId="2165030B" w:rsidR="00333DAE" w:rsidRPr="00880F5D" w:rsidRDefault="00333DAE" w:rsidP="00880F5D">
            <w:pPr>
              <w:widowControl w:val="0"/>
              <w:autoSpaceDE w:val="0"/>
              <w:autoSpaceDN w:val="0"/>
              <w:adjustRightInd w:val="0"/>
              <w:spacing w:after="120"/>
              <w:jc w:val="both"/>
              <w:rPr>
                <w:rFonts w:ascii="Times New Roman" w:hAnsi="Times New Roman" w:cs="Times New Roman"/>
                <w:sz w:val="22"/>
                <w:szCs w:val="22"/>
              </w:rPr>
            </w:pPr>
            <w:r w:rsidRPr="00880F5D">
              <w:rPr>
                <w:noProof/>
                <w:sz w:val="22"/>
                <w:szCs w:val="22"/>
                <w:lang w:eastAsia="zh-CN"/>
              </w:rPr>
              <w:drawing>
                <wp:inline distT="0" distB="0" distL="0" distR="0" wp14:anchorId="51C187FA" wp14:editId="088A6F98">
                  <wp:extent cx="2562012" cy="160274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390" cy="1608606"/>
                          </a:xfrm>
                          <a:prstGeom prst="rect">
                            <a:avLst/>
                          </a:prstGeom>
                          <a:noFill/>
                          <a:ln>
                            <a:noFill/>
                          </a:ln>
                        </pic:spPr>
                      </pic:pic>
                    </a:graphicData>
                  </a:graphic>
                </wp:inline>
              </w:drawing>
            </w:r>
          </w:p>
          <w:p w14:paraId="1E40D99C" w14:textId="77777777" w:rsidR="00333DAE" w:rsidRPr="00880F5D" w:rsidRDefault="00333DAE" w:rsidP="00880F5D">
            <w:pPr>
              <w:widowControl w:val="0"/>
              <w:autoSpaceDE w:val="0"/>
              <w:autoSpaceDN w:val="0"/>
              <w:adjustRightInd w:val="0"/>
              <w:spacing w:after="120"/>
              <w:jc w:val="both"/>
              <w:rPr>
                <w:rFonts w:ascii="Times New Roman" w:hAnsi="Times New Roman" w:cs="Times New Roman"/>
                <w:sz w:val="22"/>
                <w:szCs w:val="22"/>
              </w:rPr>
            </w:pPr>
            <w:r w:rsidRPr="00880F5D">
              <w:rPr>
                <w:sz w:val="20"/>
                <w:szCs w:val="20"/>
              </w:rPr>
              <w:t xml:space="preserve">Figure 2: Ocular and Systemic Comorbidities </w:t>
            </w:r>
          </w:p>
        </w:tc>
      </w:tr>
    </w:tbl>
    <w:p w14:paraId="50703F59" w14:textId="648BF18F" w:rsidR="00BE461E" w:rsidRPr="00880F5D" w:rsidRDefault="00BE461E" w:rsidP="00880F5D">
      <w:pPr>
        <w:spacing w:line="240" w:lineRule="auto"/>
        <w:jc w:val="both"/>
        <w:rPr>
          <w:sz w:val="22"/>
          <w:szCs w:val="22"/>
        </w:rPr>
      </w:pPr>
      <w:r w:rsidRPr="00880F5D">
        <w:rPr>
          <w:b/>
          <w:sz w:val="22"/>
          <w:szCs w:val="22"/>
        </w:rPr>
        <w:t>CONTENT CATEGORY:</w:t>
      </w:r>
      <w:r w:rsidR="000446EB" w:rsidRPr="00880F5D">
        <w:rPr>
          <w:sz w:val="22"/>
          <w:szCs w:val="22"/>
        </w:rPr>
        <w:t xml:space="preserve"> </w:t>
      </w:r>
      <w:r w:rsidR="00295BBF" w:rsidRPr="00880F5D">
        <w:rPr>
          <w:sz w:val="22"/>
          <w:szCs w:val="22"/>
        </w:rPr>
        <w:t>Epidemiology, Translational Science.</w:t>
      </w:r>
    </w:p>
    <w:p w14:paraId="46F93FAC" w14:textId="48EEE9DB" w:rsidR="00BE461E" w:rsidRPr="00880F5D" w:rsidRDefault="00BE461E" w:rsidP="00880F5D">
      <w:pPr>
        <w:spacing w:line="240" w:lineRule="auto"/>
        <w:jc w:val="both"/>
        <w:rPr>
          <w:sz w:val="22"/>
          <w:szCs w:val="22"/>
        </w:rPr>
      </w:pPr>
      <w:r w:rsidRPr="00880F5D">
        <w:rPr>
          <w:b/>
          <w:bCs/>
          <w:sz w:val="22"/>
          <w:szCs w:val="22"/>
        </w:rPr>
        <w:lastRenderedPageBreak/>
        <w:t>KEYWORDS:</w:t>
      </w:r>
      <w:r w:rsidRPr="00880F5D">
        <w:rPr>
          <w:sz w:val="22"/>
          <w:szCs w:val="22"/>
        </w:rPr>
        <w:t xml:space="preserve"> </w:t>
      </w:r>
      <w:r w:rsidR="00333DAE" w:rsidRPr="00880F5D">
        <w:rPr>
          <w:i/>
          <w:sz w:val="22"/>
          <w:szCs w:val="22"/>
        </w:rPr>
        <w:t>Diabetic retinopathy. Bronx</w:t>
      </w:r>
      <w:r w:rsidR="00572A01" w:rsidRPr="00880F5D">
        <w:rPr>
          <w:i/>
          <w:sz w:val="22"/>
          <w:szCs w:val="22"/>
        </w:rPr>
        <w:t xml:space="preserve"> USA. Myanmar, Southeast Asia.</w:t>
      </w:r>
      <w:r w:rsidR="00333DAE" w:rsidRPr="00880F5D">
        <w:rPr>
          <w:i/>
          <w:sz w:val="22"/>
          <w:szCs w:val="22"/>
        </w:rPr>
        <w:t xml:space="preserve"> Screening and preventive medicine. Matched cohort. </w:t>
      </w:r>
    </w:p>
    <w:sectPr w:rsidR="00BE461E" w:rsidRPr="00880F5D" w:rsidSect="00880F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3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80DDA" w14:textId="77777777" w:rsidR="00640B0C" w:rsidRDefault="00640B0C" w:rsidP="00410EB1">
      <w:pPr>
        <w:spacing w:after="0" w:line="240" w:lineRule="auto"/>
      </w:pPr>
      <w:r>
        <w:separator/>
      </w:r>
    </w:p>
  </w:endnote>
  <w:endnote w:type="continuationSeparator" w:id="0">
    <w:p w14:paraId="48AFCCFD" w14:textId="77777777" w:rsidR="00640B0C" w:rsidRDefault="00640B0C" w:rsidP="0041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DDD57" w14:textId="77777777" w:rsidR="004D75D1" w:rsidRDefault="004D7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23D19" w14:textId="77777777" w:rsidR="004D75D1" w:rsidRDefault="004D7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BEBAA" w14:textId="77777777" w:rsidR="004D75D1" w:rsidRDefault="004D7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E09DB" w14:textId="77777777" w:rsidR="00640B0C" w:rsidRDefault="00640B0C" w:rsidP="00410EB1">
      <w:pPr>
        <w:spacing w:after="0" w:line="240" w:lineRule="auto"/>
      </w:pPr>
      <w:r>
        <w:separator/>
      </w:r>
    </w:p>
  </w:footnote>
  <w:footnote w:type="continuationSeparator" w:id="0">
    <w:p w14:paraId="61F125AF" w14:textId="77777777" w:rsidR="00640B0C" w:rsidRDefault="00640B0C" w:rsidP="0041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C961" w14:textId="77777777" w:rsidR="004D75D1" w:rsidRDefault="004D7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97D6" w14:textId="77777777" w:rsidR="00410EB1" w:rsidRPr="004D75D1" w:rsidRDefault="00410EB1" w:rsidP="00410EB1">
    <w:pPr>
      <w:pStyle w:val="Header"/>
      <w:ind w:right="120"/>
      <w:jc w:val="right"/>
      <w:rPr>
        <w:b/>
        <w:bCs/>
        <w:color w:val="0066CC"/>
      </w:rPr>
    </w:pPr>
    <w:r w:rsidRPr="004D75D1">
      <w:rPr>
        <w:b/>
        <w:bCs/>
        <w:color w:val="0066CC"/>
      </w:rPr>
      <w:t>POSTER PRESENTER</w:t>
    </w:r>
  </w:p>
  <w:p w14:paraId="607FE5AF" w14:textId="259B666F" w:rsidR="00410EB1" w:rsidRPr="004D75D1" w:rsidRDefault="00410EB1">
    <w:pPr>
      <w:pStyle w:val="Header"/>
      <w:ind w:right="120"/>
      <w:jc w:val="right"/>
      <w:rPr>
        <w:b/>
        <w:bCs/>
        <w:color w:val="0066CC"/>
      </w:rPr>
    </w:pPr>
    <w:bookmarkStart w:id="0" w:name="_GoBack"/>
    <w:bookmarkEnd w:id="0"/>
    <w:r w:rsidRPr="004D75D1">
      <w:rPr>
        <w:b/>
        <w:bCs/>
        <w:color w:val="0066CC"/>
      </w:rPr>
      <w:t>POSTER #7</w:t>
    </w:r>
  </w:p>
  <w:p w14:paraId="248669CA" w14:textId="77777777" w:rsidR="00410EB1" w:rsidRPr="004D75D1" w:rsidRDefault="00410EB1" w:rsidP="00410EB1">
    <w:pPr>
      <w:pStyle w:val="Header"/>
      <w:ind w:right="120"/>
      <w:jc w:val="right"/>
    </w:pPr>
  </w:p>
  <w:p w14:paraId="2C702039" w14:textId="77777777" w:rsidR="00410EB1" w:rsidRPr="004D75D1" w:rsidRDefault="00410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81CB4" w14:textId="77777777" w:rsidR="004D75D1" w:rsidRDefault="004D7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1E"/>
    <w:rsid w:val="000446EB"/>
    <w:rsid w:val="00056ED8"/>
    <w:rsid w:val="0013132E"/>
    <w:rsid w:val="00142BE6"/>
    <w:rsid w:val="001B2386"/>
    <w:rsid w:val="00215B9A"/>
    <w:rsid w:val="00225738"/>
    <w:rsid w:val="00295BBF"/>
    <w:rsid w:val="003141C2"/>
    <w:rsid w:val="00333DAE"/>
    <w:rsid w:val="00370FEE"/>
    <w:rsid w:val="00410EB1"/>
    <w:rsid w:val="00455E77"/>
    <w:rsid w:val="004D75D1"/>
    <w:rsid w:val="00572A01"/>
    <w:rsid w:val="00585AD9"/>
    <w:rsid w:val="00585DF3"/>
    <w:rsid w:val="00640B0C"/>
    <w:rsid w:val="007978AC"/>
    <w:rsid w:val="007F3137"/>
    <w:rsid w:val="00880F5D"/>
    <w:rsid w:val="0093432F"/>
    <w:rsid w:val="00941151"/>
    <w:rsid w:val="00A05CA2"/>
    <w:rsid w:val="00A37A15"/>
    <w:rsid w:val="00A92D8F"/>
    <w:rsid w:val="00B51C95"/>
    <w:rsid w:val="00BC46E9"/>
    <w:rsid w:val="00BE461E"/>
    <w:rsid w:val="00FB3D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7FAD"/>
  <w15:docId w15:val="{91757212-88C9-4945-8D84-A9535B2D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61E"/>
    <w:rPr>
      <w:color w:val="808080"/>
    </w:rPr>
  </w:style>
  <w:style w:type="paragraph" w:styleId="BalloonText">
    <w:name w:val="Balloon Text"/>
    <w:basedOn w:val="Normal"/>
    <w:link w:val="BalloonTextChar"/>
    <w:uiPriority w:val="99"/>
    <w:semiHidden/>
    <w:unhideWhenUsed/>
    <w:rsid w:val="00BE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1E"/>
    <w:rPr>
      <w:rFonts w:ascii="Tahoma" w:hAnsi="Tahoma" w:cs="Tahoma"/>
      <w:sz w:val="16"/>
      <w:szCs w:val="16"/>
    </w:rPr>
  </w:style>
  <w:style w:type="paragraph" w:styleId="NormalWeb">
    <w:name w:val="Normal (Web)"/>
    <w:basedOn w:val="Normal"/>
    <w:uiPriority w:val="99"/>
    <w:semiHidden/>
    <w:unhideWhenUsed/>
    <w:rsid w:val="00333DAE"/>
    <w:pPr>
      <w:spacing w:before="100" w:beforeAutospacing="1" w:after="100" w:afterAutospacing="1" w:line="240" w:lineRule="auto"/>
    </w:pPr>
    <w:rPr>
      <w:lang w:eastAsia="zh-CN"/>
    </w:rPr>
  </w:style>
  <w:style w:type="table" w:styleId="TableGrid">
    <w:name w:val="Table Grid"/>
    <w:basedOn w:val="TableNormal"/>
    <w:uiPriority w:val="39"/>
    <w:rsid w:val="00333DA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151"/>
    <w:rPr>
      <w:sz w:val="16"/>
      <w:szCs w:val="16"/>
    </w:rPr>
  </w:style>
  <w:style w:type="paragraph" w:styleId="CommentText">
    <w:name w:val="annotation text"/>
    <w:basedOn w:val="Normal"/>
    <w:link w:val="CommentTextChar"/>
    <w:uiPriority w:val="99"/>
    <w:semiHidden/>
    <w:unhideWhenUsed/>
    <w:rsid w:val="00941151"/>
    <w:pPr>
      <w:spacing w:line="240" w:lineRule="auto"/>
    </w:pPr>
    <w:rPr>
      <w:sz w:val="20"/>
      <w:szCs w:val="20"/>
    </w:rPr>
  </w:style>
  <w:style w:type="character" w:customStyle="1" w:styleId="CommentTextChar">
    <w:name w:val="Comment Text Char"/>
    <w:basedOn w:val="DefaultParagraphFont"/>
    <w:link w:val="CommentText"/>
    <w:uiPriority w:val="99"/>
    <w:semiHidden/>
    <w:rsid w:val="00941151"/>
    <w:rPr>
      <w:sz w:val="20"/>
      <w:szCs w:val="20"/>
    </w:rPr>
  </w:style>
  <w:style w:type="paragraph" w:styleId="CommentSubject">
    <w:name w:val="annotation subject"/>
    <w:basedOn w:val="CommentText"/>
    <w:next w:val="CommentText"/>
    <w:link w:val="CommentSubjectChar"/>
    <w:uiPriority w:val="99"/>
    <w:semiHidden/>
    <w:unhideWhenUsed/>
    <w:rsid w:val="00941151"/>
    <w:rPr>
      <w:b/>
      <w:bCs/>
    </w:rPr>
  </w:style>
  <w:style w:type="character" w:customStyle="1" w:styleId="CommentSubjectChar">
    <w:name w:val="Comment Subject Char"/>
    <w:basedOn w:val="CommentTextChar"/>
    <w:link w:val="CommentSubject"/>
    <w:uiPriority w:val="99"/>
    <w:semiHidden/>
    <w:rsid w:val="00941151"/>
    <w:rPr>
      <w:b/>
      <w:bCs/>
      <w:sz w:val="20"/>
      <w:szCs w:val="20"/>
    </w:rPr>
  </w:style>
  <w:style w:type="paragraph" w:styleId="Header">
    <w:name w:val="header"/>
    <w:basedOn w:val="Normal"/>
    <w:link w:val="HeaderChar"/>
    <w:uiPriority w:val="99"/>
    <w:unhideWhenUsed/>
    <w:rsid w:val="00410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EB1"/>
  </w:style>
  <w:style w:type="paragraph" w:styleId="Footer">
    <w:name w:val="footer"/>
    <w:basedOn w:val="Normal"/>
    <w:link w:val="FooterChar"/>
    <w:uiPriority w:val="99"/>
    <w:unhideWhenUsed/>
    <w:rsid w:val="00410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95890">
      <w:bodyDiv w:val="1"/>
      <w:marLeft w:val="0"/>
      <w:marRight w:val="0"/>
      <w:marTop w:val="0"/>
      <w:marBottom w:val="0"/>
      <w:divBdr>
        <w:top w:val="none" w:sz="0" w:space="0" w:color="auto"/>
        <w:left w:val="none" w:sz="0" w:space="0" w:color="auto"/>
        <w:bottom w:val="none" w:sz="0" w:space="0" w:color="auto"/>
        <w:right w:val="none" w:sz="0" w:space="0" w:color="auto"/>
      </w:divBdr>
    </w:div>
    <w:div w:id="968628604">
      <w:bodyDiv w:val="1"/>
      <w:marLeft w:val="0"/>
      <w:marRight w:val="0"/>
      <w:marTop w:val="0"/>
      <w:marBottom w:val="0"/>
      <w:divBdr>
        <w:top w:val="none" w:sz="0" w:space="0" w:color="auto"/>
        <w:left w:val="none" w:sz="0" w:space="0" w:color="auto"/>
        <w:bottom w:val="none" w:sz="0" w:space="0" w:color="auto"/>
        <w:right w:val="none" w:sz="0" w:space="0" w:color="auto"/>
      </w:divBdr>
    </w:div>
    <w:div w:id="17883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D8E0-83A7-4889-A17B-5809541F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JLove</dc:creator>
  <cp:lastModifiedBy>J Li</cp:lastModifiedBy>
  <cp:revision>4</cp:revision>
  <cp:lastPrinted>2019-10-14T16:49:00Z</cp:lastPrinted>
  <dcterms:created xsi:type="dcterms:W3CDTF">2019-10-25T20:54:00Z</dcterms:created>
  <dcterms:modified xsi:type="dcterms:W3CDTF">2019-10-25T21:11:00Z</dcterms:modified>
</cp:coreProperties>
</file>