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hAnsi="Times New Roman" w:cs="Times New Roman"/>
          <w:b/>
          <w:bCs/>
          <w:sz w:val="24"/>
          <w:szCs w:val="24"/>
        </w:rPr>
        <w:id w:val="-1331600665"/>
        <w:placeholder>
          <w:docPart w:val="A284D5A2D70A4ABC92E39DFA9448CD3D"/>
        </w:placeholder>
      </w:sdtPr>
      <w:sdtEndPr/>
      <w:sdtContent>
        <w:p w14:paraId="2A26694E" w14:textId="7A5292F8" w:rsidR="003B10CC" w:rsidRPr="00A60A28" w:rsidRDefault="007265B9">
          <w:pPr>
            <w:rPr>
              <w:rFonts w:ascii="Times New Roman" w:hAnsi="Times New Roman" w:cs="Times New Roman"/>
              <w:b/>
              <w:bCs/>
              <w:sz w:val="24"/>
              <w:szCs w:val="24"/>
            </w:rPr>
          </w:pPr>
          <w:r w:rsidRPr="00A60A28">
            <w:rPr>
              <w:rFonts w:ascii="Times New Roman" w:hAnsi="Times New Roman" w:cs="Times New Roman"/>
              <w:b/>
              <w:bCs/>
              <w:sz w:val="24"/>
              <w:szCs w:val="24"/>
            </w:rPr>
            <w:t>CONSIDERING DELAY OF CHOLECYSTECTOMY IN THE THIRD TRIMESTER OF PREGNANCY</w:t>
          </w:r>
        </w:p>
      </w:sdtContent>
    </w:sdt>
    <w:sdt>
      <w:sdtPr>
        <w:rPr>
          <w:rFonts w:ascii="Times New Roman" w:hAnsi="Times New Roman" w:cs="Times New Roman"/>
          <w:sz w:val="24"/>
          <w:szCs w:val="24"/>
        </w:rPr>
        <w:id w:val="1924983039"/>
        <w:placeholder>
          <w:docPart w:val="F7E29074F8194D7D8A5E1C0FE4E8DEBF"/>
        </w:placeholder>
      </w:sdtPr>
      <w:sdtEndPr/>
      <w:sdtContent>
        <w:p w14:paraId="6B5A5C14" w14:textId="77777777" w:rsidR="00AD4D91" w:rsidRPr="00A60A28" w:rsidRDefault="00AD4D91" w:rsidP="003B10CC">
          <w:pPr>
            <w:rPr>
              <w:rFonts w:ascii="Times New Roman" w:hAnsi="Times New Roman" w:cs="Times New Roman"/>
              <w:sz w:val="24"/>
              <w:szCs w:val="24"/>
            </w:rPr>
          </w:pPr>
          <w:r w:rsidRPr="00A60A28">
            <w:rPr>
              <w:rFonts w:ascii="Times New Roman" w:hAnsi="Times New Roman" w:cs="Times New Roman"/>
              <w:sz w:val="24"/>
              <w:szCs w:val="24"/>
            </w:rPr>
            <w:t xml:space="preserve">Julie Hong MD, </w:t>
          </w:r>
          <w:proofErr w:type="spellStart"/>
          <w:r w:rsidRPr="00A60A28">
            <w:rPr>
              <w:rFonts w:ascii="Times New Roman" w:hAnsi="Times New Roman" w:cs="Times New Roman"/>
              <w:sz w:val="24"/>
              <w:szCs w:val="24"/>
            </w:rPr>
            <w:t>Jie</w:t>
          </w:r>
          <w:proofErr w:type="spellEnd"/>
          <w:r w:rsidRPr="00A60A28">
            <w:rPr>
              <w:rFonts w:ascii="Times New Roman" w:hAnsi="Times New Roman" w:cs="Times New Roman"/>
              <w:sz w:val="24"/>
              <w:szCs w:val="24"/>
            </w:rPr>
            <w:t xml:space="preserve"> Yang PhD, </w:t>
          </w:r>
          <w:proofErr w:type="spellStart"/>
          <w:r w:rsidRPr="00A60A28">
            <w:rPr>
              <w:rFonts w:ascii="Times New Roman" w:hAnsi="Times New Roman" w:cs="Times New Roman"/>
              <w:sz w:val="24"/>
              <w:szCs w:val="24"/>
            </w:rPr>
            <w:t>Xioyue</w:t>
          </w:r>
          <w:proofErr w:type="spellEnd"/>
          <w:r w:rsidRPr="00A60A28">
            <w:rPr>
              <w:rFonts w:ascii="Times New Roman" w:hAnsi="Times New Roman" w:cs="Times New Roman"/>
              <w:sz w:val="24"/>
              <w:szCs w:val="24"/>
            </w:rPr>
            <w:t xml:space="preserve"> Zhang MS, Jared </w:t>
          </w:r>
          <w:proofErr w:type="spellStart"/>
          <w:r w:rsidRPr="00A60A28">
            <w:rPr>
              <w:rFonts w:ascii="Times New Roman" w:hAnsi="Times New Roman" w:cs="Times New Roman"/>
              <w:sz w:val="24"/>
              <w:szCs w:val="24"/>
            </w:rPr>
            <w:t>Su</w:t>
          </w:r>
          <w:proofErr w:type="spellEnd"/>
          <w:r w:rsidRPr="00A60A28">
            <w:rPr>
              <w:rFonts w:ascii="Times New Roman" w:hAnsi="Times New Roman" w:cs="Times New Roman"/>
              <w:sz w:val="24"/>
              <w:szCs w:val="24"/>
            </w:rPr>
            <w:t xml:space="preserve"> MD, </w:t>
          </w:r>
          <w:proofErr w:type="spellStart"/>
          <w:r w:rsidRPr="00A60A28">
            <w:rPr>
              <w:rFonts w:ascii="Times New Roman" w:hAnsi="Times New Roman" w:cs="Times New Roman"/>
              <w:sz w:val="24"/>
              <w:szCs w:val="24"/>
            </w:rPr>
            <w:t>Abhinay</w:t>
          </w:r>
          <w:proofErr w:type="spellEnd"/>
          <w:r w:rsidRPr="00A60A28">
            <w:rPr>
              <w:rFonts w:ascii="Times New Roman" w:hAnsi="Times New Roman" w:cs="Times New Roman"/>
              <w:sz w:val="24"/>
              <w:szCs w:val="24"/>
            </w:rPr>
            <w:t xml:space="preserve"> </w:t>
          </w:r>
          <w:proofErr w:type="spellStart"/>
          <w:r w:rsidRPr="00A60A28">
            <w:rPr>
              <w:rFonts w:ascii="Times New Roman" w:hAnsi="Times New Roman" w:cs="Times New Roman"/>
              <w:sz w:val="24"/>
              <w:szCs w:val="24"/>
            </w:rPr>
            <w:t>Tumati</w:t>
          </w:r>
          <w:proofErr w:type="spellEnd"/>
          <w:r w:rsidRPr="00A60A28">
            <w:rPr>
              <w:rFonts w:ascii="Times New Roman" w:hAnsi="Times New Roman" w:cs="Times New Roman"/>
              <w:sz w:val="24"/>
              <w:szCs w:val="24"/>
            </w:rPr>
            <w:t xml:space="preserve"> MD, David Garry DO, Salvatore </w:t>
          </w:r>
          <w:proofErr w:type="spellStart"/>
          <w:r w:rsidRPr="00A60A28">
            <w:rPr>
              <w:rFonts w:ascii="Times New Roman" w:hAnsi="Times New Roman" w:cs="Times New Roman"/>
              <w:sz w:val="24"/>
              <w:szCs w:val="24"/>
            </w:rPr>
            <w:t>Docimo</w:t>
          </w:r>
          <w:proofErr w:type="spellEnd"/>
          <w:r w:rsidRPr="00A60A28">
            <w:rPr>
              <w:rFonts w:ascii="Times New Roman" w:hAnsi="Times New Roman" w:cs="Times New Roman"/>
              <w:sz w:val="24"/>
              <w:szCs w:val="24"/>
            </w:rPr>
            <w:t xml:space="preserve"> DO, Andrew T Bates MD, Konstantinos </w:t>
          </w:r>
          <w:proofErr w:type="spellStart"/>
          <w:r w:rsidRPr="00A60A28">
            <w:rPr>
              <w:rFonts w:ascii="Times New Roman" w:hAnsi="Times New Roman" w:cs="Times New Roman"/>
              <w:sz w:val="24"/>
              <w:szCs w:val="24"/>
            </w:rPr>
            <w:t>Spaniolas</w:t>
          </w:r>
          <w:proofErr w:type="spellEnd"/>
          <w:r w:rsidRPr="00A60A28">
            <w:rPr>
              <w:rFonts w:ascii="Times New Roman" w:hAnsi="Times New Roman" w:cs="Times New Roman"/>
              <w:sz w:val="24"/>
              <w:szCs w:val="24"/>
            </w:rPr>
            <w:t xml:space="preserve"> MD, Mark A </w:t>
          </w:r>
          <w:proofErr w:type="spellStart"/>
          <w:r w:rsidRPr="00A60A28">
            <w:rPr>
              <w:rFonts w:ascii="Times New Roman" w:hAnsi="Times New Roman" w:cs="Times New Roman"/>
              <w:sz w:val="24"/>
              <w:szCs w:val="24"/>
            </w:rPr>
            <w:t>Talamini</w:t>
          </w:r>
          <w:proofErr w:type="spellEnd"/>
          <w:r w:rsidRPr="00A60A28">
            <w:rPr>
              <w:rFonts w:ascii="Times New Roman" w:hAnsi="Times New Roman" w:cs="Times New Roman"/>
              <w:sz w:val="24"/>
              <w:szCs w:val="24"/>
            </w:rPr>
            <w:t xml:space="preserve"> MD, Aurora D Pryor MD</w:t>
          </w:r>
        </w:p>
        <w:p w14:paraId="6D940F1D" w14:textId="1F49C501" w:rsidR="003B10CC" w:rsidRPr="00A60A28" w:rsidRDefault="00AD4D91" w:rsidP="00AD4D91">
          <w:pPr>
            <w:spacing w:after="0" w:line="240" w:lineRule="auto"/>
            <w:rPr>
              <w:rFonts w:ascii="Times New Roman" w:eastAsia="Times New Roman" w:hAnsi="Times New Roman" w:cs="Times New Roman"/>
              <w:sz w:val="24"/>
              <w:szCs w:val="24"/>
              <w:lang w:eastAsia="ko-KR"/>
            </w:rPr>
          </w:pPr>
          <w:r w:rsidRPr="00A60A28">
            <w:rPr>
              <w:rFonts w:ascii="Times New Roman" w:eastAsia="Times New Roman" w:hAnsi="Times New Roman" w:cs="Times New Roman"/>
              <w:color w:val="333333"/>
              <w:sz w:val="24"/>
              <w:szCs w:val="24"/>
              <w:shd w:val="clear" w:color="auto" w:fill="FFFFFF"/>
              <w:lang w:eastAsia="ko-KR"/>
            </w:rPr>
            <w:t>Division of Bariatric, Foregut, and Advanced Gastrointestinal Surgery, Department of Surgery, Stony Brook University Medical Center, Stony Brook, NY, USA</w:t>
          </w:r>
        </w:p>
      </w:sdtContent>
    </w:sdt>
    <w:p w14:paraId="53A0C4A6" w14:textId="77777777" w:rsidR="003B10CC" w:rsidRPr="00A60A28" w:rsidRDefault="003B10CC" w:rsidP="00A60A28">
      <w:pPr>
        <w:spacing w:after="0"/>
        <w:rPr>
          <w:rFonts w:ascii="Times New Roman" w:hAnsi="Times New Roman" w:cs="Times New Roman"/>
        </w:rPr>
      </w:pPr>
    </w:p>
    <w:p w14:paraId="563EF511" w14:textId="2EC5FD61" w:rsidR="003B10CC" w:rsidRPr="00A60A28" w:rsidRDefault="003B10CC" w:rsidP="00A60A28">
      <w:pPr>
        <w:spacing w:after="0"/>
        <w:rPr>
          <w:rFonts w:ascii="Times New Roman" w:hAnsi="Times New Roman" w:cs="Times New Roman"/>
          <w:b/>
          <w:bCs/>
          <w:sz w:val="24"/>
          <w:szCs w:val="24"/>
        </w:rPr>
      </w:pPr>
      <w:r w:rsidRPr="00A60A28">
        <w:rPr>
          <w:rFonts w:ascii="Times New Roman" w:hAnsi="Times New Roman" w:cs="Times New Roman"/>
          <w:b/>
          <w:bCs/>
          <w:sz w:val="24"/>
          <w:szCs w:val="24"/>
        </w:rPr>
        <w:t xml:space="preserve">BACKGROUND: </w:t>
      </w:r>
      <w:sdt>
        <w:sdtPr>
          <w:rPr>
            <w:rFonts w:ascii="Times New Roman" w:hAnsi="Times New Roman" w:cs="Times New Roman"/>
            <w:sz w:val="24"/>
            <w:szCs w:val="24"/>
          </w:rPr>
          <w:id w:val="127902270"/>
          <w:placeholder>
            <w:docPart w:val="7C9EAF9001B18941BDC036BA158715F2"/>
          </w:placeholder>
        </w:sdtPr>
        <w:sdtEndPr/>
        <w:sdtContent>
          <w:r w:rsidR="00AD4D91" w:rsidRPr="00A60A28">
            <w:rPr>
              <w:rFonts w:ascii="Times New Roman" w:hAnsi="Times New Roman" w:cs="Times New Roman"/>
              <w:sz w:val="24"/>
              <w:szCs w:val="24"/>
            </w:rPr>
            <w:t xml:space="preserve">Current guidelines support laparoscopic cholecystectomy as the treatment of choice for pregnant women with symptomatic gallbladder disease, regardless of the trimester. Early intervention has remained the standard of care, but recent evidence has challenged this practice in pregnant women. We sought to compare surgical and maternal–fetal outcomes of antepartum versus postpartum cholecystectomy in New York State. </w:t>
          </w:r>
        </w:sdtContent>
      </w:sdt>
    </w:p>
    <w:p w14:paraId="68A09BFA" w14:textId="77777777" w:rsidR="00A60A28" w:rsidRPr="00A60A28" w:rsidRDefault="00A60A28" w:rsidP="00A60A28">
      <w:pPr>
        <w:spacing w:after="0"/>
        <w:rPr>
          <w:rFonts w:ascii="Times New Roman" w:hAnsi="Times New Roman" w:cs="Times New Roman"/>
          <w:b/>
        </w:rPr>
      </w:pPr>
    </w:p>
    <w:p w14:paraId="22096FBB" w14:textId="5D001E8B" w:rsidR="003B10CC" w:rsidRPr="00A60A28" w:rsidRDefault="003B10CC" w:rsidP="00A60A28">
      <w:pPr>
        <w:spacing w:after="0"/>
        <w:rPr>
          <w:rFonts w:ascii="Times New Roman" w:hAnsi="Times New Roman" w:cs="Times New Roman"/>
          <w:sz w:val="24"/>
          <w:szCs w:val="24"/>
        </w:rPr>
      </w:pPr>
      <w:r w:rsidRPr="00A60A28">
        <w:rPr>
          <w:rFonts w:ascii="Times New Roman" w:hAnsi="Times New Roman" w:cs="Times New Roman"/>
          <w:b/>
          <w:sz w:val="24"/>
          <w:szCs w:val="24"/>
        </w:rPr>
        <w:t xml:space="preserve">METHODS: </w:t>
      </w:r>
      <w:sdt>
        <w:sdtPr>
          <w:rPr>
            <w:rFonts w:ascii="Times New Roman" w:hAnsi="Times New Roman" w:cs="Times New Roman"/>
            <w:b/>
            <w:sz w:val="24"/>
            <w:szCs w:val="24"/>
          </w:rPr>
          <w:id w:val="1507019279"/>
          <w:placeholder>
            <w:docPart w:val="953AD67BCE6D1F4DA112EFE8F295FE73"/>
          </w:placeholder>
        </w:sdtPr>
        <w:sdtEndPr/>
        <w:sdtContent>
          <w:r w:rsidR="00AD4D91" w:rsidRPr="00A60A28">
            <w:rPr>
              <w:rFonts w:ascii="Times New Roman" w:hAnsi="Times New Roman" w:cs="Times New Roman"/>
              <w:bCs/>
              <w:sz w:val="24"/>
              <w:szCs w:val="24"/>
            </w:rPr>
            <w:t>Between 2005 and 2014, the New York Statewide Planning and Research Cooperative System (SPARCS) database was queried for patients who underwent cholecystectomy within 3 months before (antepartum cholecystectomy, APCCY: </w:t>
          </w:r>
          <w:r w:rsidR="00AD4D91" w:rsidRPr="00A60A28">
            <w:rPr>
              <w:rFonts w:ascii="Times New Roman" w:hAnsi="Times New Roman" w:cs="Times New Roman"/>
              <w:bCs/>
              <w:i/>
              <w:iCs/>
              <w:sz w:val="24"/>
              <w:szCs w:val="24"/>
            </w:rPr>
            <w:t>n</w:t>
          </w:r>
          <w:r w:rsidR="00AD4D91" w:rsidRPr="00A60A28">
            <w:rPr>
              <w:rFonts w:ascii="Times New Roman" w:hAnsi="Times New Roman" w:cs="Times New Roman"/>
              <w:bCs/>
              <w:sz w:val="24"/>
              <w:szCs w:val="24"/>
            </w:rPr>
            <w:t> = 82) and after (postpartum cholecystectomy, PPCCY: </w:t>
          </w:r>
          <w:r w:rsidR="00AD4D91" w:rsidRPr="00A60A28">
            <w:rPr>
              <w:rFonts w:ascii="Times New Roman" w:hAnsi="Times New Roman" w:cs="Times New Roman"/>
              <w:bCs/>
              <w:i/>
              <w:iCs/>
              <w:sz w:val="24"/>
              <w:szCs w:val="24"/>
            </w:rPr>
            <w:t>n</w:t>
          </w:r>
          <w:r w:rsidR="00AD4D91" w:rsidRPr="00A60A28">
            <w:rPr>
              <w:rFonts w:ascii="Times New Roman" w:hAnsi="Times New Roman" w:cs="Times New Roman"/>
              <w:bCs/>
              <w:sz w:val="24"/>
              <w:szCs w:val="24"/>
            </w:rPr>
            <w:t> = 5040) childbirth to approximate third-trimester operations. All patients who underwent cholecystectomy during pregnancy (</w:t>
          </w:r>
          <w:r w:rsidR="00AD4D91" w:rsidRPr="00A60A28">
            <w:rPr>
              <w:rFonts w:ascii="Times New Roman" w:hAnsi="Times New Roman" w:cs="Times New Roman"/>
              <w:bCs/>
              <w:i/>
              <w:iCs/>
              <w:sz w:val="24"/>
              <w:szCs w:val="24"/>
            </w:rPr>
            <w:t>n</w:t>
          </w:r>
          <w:r w:rsidR="00AD4D91" w:rsidRPr="00A60A28">
            <w:rPr>
              <w:rFonts w:ascii="Times New Roman" w:hAnsi="Times New Roman" w:cs="Times New Roman"/>
              <w:bCs/>
              <w:sz w:val="24"/>
              <w:szCs w:val="24"/>
            </w:rPr>
            <w:t> = 971) were extracted to evaluate inter-trimester differences. Subgroup analysis compared APCCY patients who were not hospitalized within 1 year before APCCY (</w:t>
          </w:r>
          <w:r w:rsidR="00AD4D91" w:rsidRPr="00A60A28">
            <w:rPr>
              <w:rFonts w:ascii="Times New Roman" w:hAnsi="Times New Roman" w:cs="Times New Roman"/>
              <w:bCs/>
              <w:i/>
              <w:iCs/>
              <w:sz w:val="24"/>
              <w:szCs w:val="24"/>
            </w:rPr>
            <w:t>n</w:t>
          </w:r>
          <w:r w:rsidR="00AD4D91" w:rsidRPr="00A60A28">
            <w:rPr>
              <w:rFonts w:ascii="Times New Roman" w:hAnsi="Times New Roman" w:cs="Times New Roman"/>
              <w:bCs/>
              <w:sz w:val="24"/>
              <w:szCs w:val="24"/>
            </w:rPr>
            <w:t> = 80) and PPCCY patients who were hospitalized within 1 year before childbirth (</w:t>
          </w:r>
          <w:r w:rsidR="00AD4D91" w:rsidRPr="00A60A28">
            <w:rPr>
              <w:rFonts w:ascii="Times New Roman" w:hAnsi="Times New Roman" w:cs="Times New Roman"/>
              <w:bCs/>
              <w:i/>
              <w:iCs/>
              <w:sz w:val="24"/>
              <w:szCs w:val="24"/>
            </w:rPr>
            <w:t>n</w:t>
          </w:r>
          <w:r w:rsidR="00AD4D91" w:rsidRPr="00A60A28">
            <w:rPr>
              <w:rFonts w:ascii="Times New Roman" w:hAnsi="Times New Roman" w:cs="Times New Roman"/>
              <w:bCs/>
              <w:sz w:val="24"/>
              <w:szCs w:val="24"/>
            </w:rPr>
            <w:t xml:space="preserve"> = 29) for symptomatic biliary </w:t>
          </w:r>
          <w:proofErr w:type="gramStart"/>
          <w:r w:rsidR="00AD4D91" w:rsidRPr="00A60A28">
            <w:rPr>
              <w:rFonts w:ascii="Times New Roman" w:hAnsi="Times New Roman" w:cs="Times New Roman"/>
              <w:bCs/>
              <w:sz w:val="24"/>
              <w:szCs w:val="24"/>
            </w:rPr>
            <w:t>disease.</w:t>
          </w:r>
          <w:proofErr w:type="gramEnd"/>
          <w:r w:rsidR="00AD4D91" w:rsidRPr="00A60A28">
            <w:rPr>
              <w:rFonts w:ascii="Times New Roman" w:hAnsi="Times New Roman" w:cs="Times New Roman"/>
              <w:bCs/>
              <w:sz w:val="24"/>
              <w:szCs w:val="24"/>
            </w:rPr>
            <w:t xml:space="preserve"> Multivariable generalized linear regression models were used to characterize the association between timing of cholecystectomy and several primary outcomes: length of stay (LOS), 30-day non-pregnancy, non-delivery readmission (NPND), bile duct injury (BDI), composite maternal outcome (antepartum hemorrhage, preterm delivery, cesarean section), any complications, and fetal demise.</w:t>
          </w:r>
          <w:r w:rsidR="00AD4D91" w:rsidRPr="00A60A28">
            <w:rPr>
              <w:rFonts w:ascii="Times New Roman" w:hAnsi="Times New Roman" w:cs="Times New Roman"/>
              <w:b/>
              <w:sz w:val="24"/>
              <w:szCs w:val="24"/>
            </w:rPr>
            <w:t xml:space="preserve"> </w:t>
          </w:r>
        </w:sdtContent>
      </w:sdt>
    </w:p>
    <w:p w14:paraId="53A4B33E" w14:textId="77777777" w:rsidR="00A60A28" w:rsidRPr="00A60A28" w:rsidRDefault="00A60A28" w:rsidP="00A60A28">
      <w:pPr>
        <w:spacing w:after="0"/>
        <w:rPr>
          <w:rFonts w:ascii="Times New Roman" w:hAnsi="Times New Roman" w:cs="Times New Roman"/>
          <w:b/>
        </w:rPr>
      </w:pPr>
    </w:p>
    <w:p w14:paraId="0992DD76" w14:textId="748CABB8" w:rsidR="003B10CC" w:rsidRPr="00A60A28" w:rsidRDefault="003B10CC" w:rsidP="00A60A28">
      <w:pPr>
        <w:spacing w:after="0"/>
        <w:rPr>
          <w:rFonts w:ascii="Times New Roman" w:hAnsi="Times New Roman" w:cs="Times New Roman"/>
          <w:sz w:val="24"/>
          <w:szCs w:val="24"/>
        </w:rPr>
      </w:pPr>
      <w:r w:rsidRPr="00A60A28">
        <w:rPr>
          <w:rFonts w:ascii="Times New Roman" w:hAnsi="Times New Roman" w:cs="Times New Roman"/>
          <w:b/>
          <w:sz w:val="24"/>
          <w:szCs w:val="24"/>
        </w:rPr>
        <w:t>RESULTS:</w:t>
      </w:r>
      <w:r w:rsidRPr="00A60A28">
        <w:rPr>
          <w:rFonts w:ascii="Times New Roman" w:hAnsi="Times New Roman" w:cs="Times New Roman"/>
          <w:sz w:val="24"/>
          <w:szCs w:val="24"/>
        </w:rPr>
        <w:t xml:space="preserve"> </w:t>
      </w:r>
      <w:sdt>
        <w:sdtPr>
          <w:rPr>
            <w:rFonts w:ascii="Times New Roman" w:hAnsi="Times New Roman" w:cs="Times New Roman"/>
            <w:sz w:val="24"/>
            <w:szCs w:val="24"/>
          </w:rPr>
          <w:id w:val="507257394"/>
          <w:placeholder>
            <w:docPart w:val="A5CF9B98E198CE4592F6B4497CF81780"/>
          </w:placeholder>
        </w:sdtPr>
        <w:sdtEndPr/>
        <w:sdtContent>
          <w:r w:rsidR="00AD4D91" w:rsidRPr="00A60A28">
            <w:rPr>
              <w:rFonts w:ascii="Times New Roman" w:hAnsi="Times New Roman" w:cs="Times New Roman"/>
              <w:sz w:val="24"/>
              <w:szCs w:val="24"/>
            </w:rPr>
            <w:t>Third-trimester APCCY women had longer LOS (Ratio: 1.44, 95% CI [1.26–1.66], </w:t>
          </w:r>
          <w:r w:rsidR="00AD4D91" w:rsidRPr="00A60A28">
            <w:rPr>
              <w:rFonts w:ascii="Times New Roman" w:hAnsi="Times New Roman" w:cs="Times New Roman"/>
              <w:i/>
              <w:iCs/>
              <w:sz w:val="24"/>
              <w:szCs w:val="24"/>
            </w:rPr>
            <w:t>p</w:t>
          </w:r>
          <w:r w:rsidR="00AD4D91" w:rsidRPr="00A60A28">
            <w:rPr>
              <w:rFonts w:ascii="Times New Roman" w:hAnsi="Times New Roman" w:cs="Times New Roman"/>
              <w:sz w:val="24"/>
              <w:szCs w:val="24"/>
            </w:rPr>
            <w:t> &lt; 0.0001) and greater incidence of preterm delivery (OR 2.54, 95% CI [1.37–4.43], </w:t>
          </w:r>
          <w:r w:rsidR="00AD4D91" w:rsidRPr="00A60A28">
            <w:rPr>
              <w:rFonts w:ascii="Times New Roman" w:hAnsi="Times New Roman" w:cs="Times New Roman"/>
              <w:i/>
              <w:iCs/>
              <w:sz w:val="24"/>
              <w:szCs w:val="24"/>
            </w:rPr>
            <w:t>p</w:t>
          </w:r>
          <w:r w:rsidR="00AD4D91" w:rsidRPr="00A60A28">
            <w:rPr>
              <w:rFonts w:ascii="Times New Roman" w:hAnsi="Times New Roman" w:cs="Times New Roman"/>
              <w:sz w:val="24"/>
              <w:szCs w:val="24"/>
            </w:rPr>
            <w:t> = 0.0019). Cholecystectomy timing was not independently associated with differences in composite maternal outcome (</w:t>
          </w:r>
          <w:r w:rsidR="00AD4D91" w:rsidRPr="00A60A28">
            <w:rPr>
              <w:rFonts w:ascii="Times New Roman" w:hAnsi="Times New Roman" w:cs="Times New Roman"/>
              <w:i/>
              <w:iCs/>
              <w:sz w:val="24"/>
              <w:szCs w:val="24"/>
            </w:rPr>
            <w:t>p</w:t>
          </w:r>
          <w:r w:rsidR="00AD4D91" w:rsidRPr="00A60A28">
            <w:rPr>
              <w:rFonts w:ascii="Times New Roman" w:hAnsi="Times New Roman" w:cs="Times New Roman"/>
              <w:sz w:val="24"/>
              <w:szCs w:val="24"/>
            </w:rPr>
            <w:t> = 0.1480), BDI (</w:t>
          </w:r>
          <w:r w:rsidR="00AD4D91" w:rsidRPr="00A60A28">
            <w:rPr>
              <w:rFonts w:ascii="Times New Roman" w:hAnsi="Times New Roman" w:cs="Times New Roman"/>
              <w:i/>
              <w:iCs/>
              <w:sz w:val="24"/>
              <w:szCs w:val="24"/>
            </w:rPr>
            <w:t>p</w:t>
          </w:r>
          <w:r w:rsidR="00AD4D91" w:rsidRPr="00A60A28">
            <w:rPr>
              <w:rFonts w:ascii="Times New Roman" w:hAnsi="Times New Roman" w:cs="Times New Roman"/>
              <w:sz w:val="24"/>
              <w:szCs w:val="24"/>
            </w:rPr>
            <w:t> = 0.2578), 30-day NPND readmission (</w:t>
          </w:r>
          <w:r w:rsidR="00AD4D91" w:rsidRPr="00A60A28">
            <w:rPr>
              <w:rFonts w:ascii="Times New Roman" w:hAnsi="Times New Roman" w:cs="Times New Roman"/>
              <w:i/>
              <w:iCs/>
              <w:sz w:val="24"/>
              <w:szCs w:val="24"/>
            </w:rPr>
            <w:t>p</w:t>
          </w:r>
          <w:r w:rsidR="00AD4D91" w:rsidRPr="00A60A28">
            <w:rPr>
              <w:rFonts w:ascii="Times New Roman" w:hAnsi="Times New Roman" w:cs="Times New Roman"/>
              <w:sz w:val="24"/>
              <w:szCs w:val="24"/>
            </w:rPr>
            <w:t> = 0.7579), any complications (</w:t>
          </w:r>
          <w:r w:rsidR="00AD4D91" w:rsidRPr="00A60A28">
            <w:rPr>
              <w:rFonts w:ascii="Times New Roman" w:hAnsi="Times New Roman" w:cs="Times New Roman"/>
              <w:i/>
              <w:iCs/>
              <w:sz w:val="24"/>
              <w:szCs w:val="24"/>
            </w:rPr>
            <w:t>p</w:t>
          </w:r>
          <w:r w:rsidR="00AD4D91" w:rsidRPr="00A60A28">
            <w:rPr>
              <w:rFonts w:ascii="Times New Roman" w:hAnsi="Times New Roman" w:cs="Times New Roman"/>
              <w:sz w:val="24"/>
              <w:szCs w:val="24"/>
            </w:rPr>
            <w:t> = 0.2506), and fetal demise (2.44% versus 0.44%, </w:t>
          </w:r>
          <w:r w:rsidR="00AD4D91" w:rsidRPr="00A60A28">
            <w:rPr>
              <w:rFonts w:ascii="Times New Roman" w:hAnsi="Times New Roman" w:cs="Times New Roman"/>
              <w:i/>
              <w:iCs/>
              <w:sz w:val="24"/>
              <w:szCs w:val="24"/>
            </w:rPr>
            <w:t>p</w:t>
          </w:r>
          <w:r w:rsidR="00AD4D91" w:rsidRPr="00A60A28">
            <w:rPr>
              <w:rFonts w:ascii="Times New Roman" w:hAnsi="Times New Roman" w:cs="Times New Roman"/>
              <w:sz w:val="24"/>
              <w:szCs w:val="24"/>
            </w:rPr>
            <w:t xml:space="preserve"> = 0.0545). Subgroup analysis revealed no differences in any of the seven outcomes. </w:t>
          </w:r>
        </w:sdtContent>
      </w:sdt>
    </w:p>
    <w:p w14:paraId="10F4B26C" w14:textId="77777777" w:rsidR="00A60A28" w:rsidRPr="00A60A28" w:rsidRDefault="00A60A28" w:rsidP="00A60A28">
      <w:pPr>
        <w:spacing w:after="0"/>
        <w:rPr>
          <w:rFonts w:ascii="Times New Roman" w:hAnsi="Times New Roman" w:cs="Times New Roman"/>
          <w:b/>
        </w:rPr>
      </w:pPr>
    </w:p>
    <w:p w14:paraId="6246B0D0" w14:textId="707D4609" w:rsidR="003B10CC" w:rsidRPr="00A60A28" w:rsidRDefault="003B10CC" w:rsidP="00A60A28">
      <w:pPr>
        <w:spacing w:after="0"/>
        <w:rPr>
          <w:rFonts w:ascii="Times New Roman" w:hAnsi="Times New Roman" w:cs="Times New Roman"/>
          <w:sz w:val="24"/>
          <w:szCs w:val="24"/>
        </w:rPr>
      </w:pPr>
      <w:r w:rsidRPr="00A60A28">
        <w:rPr>
          <w:rFonts w:ascii="Times New Roman" w:hAnsi="Times New Roman" w:cs="Times New Roman"/>
          <w:b/>
          <w:sz w:val="24"/>
          <w:szCs w:val="24"/>
        </w:rPr>
        <w:t>CONCLUSIONS:</w:t>
      </w:r>
      <w:r w:rsidRPr="00A60A28">
        <w:rPr>
          <w:rFonts w:ascii="Times New Roman" w:hAnsi="Times New Roman" w:cs="Times New Roman"/>
          <w:sz w:val="24"/>
          <w:szCs w:val="24"/>
        </w:rPr>
        <w:t xml:space="preserve"> </w:t>
      </w:r>
      <w:sdt>
        <w:sdtPr>
          <w:rPr>
            <w:rFonts w:ascii="Times New Roman" w:hAnsi="Times New Roman" w:cs="Times New Roman"/>
            <w:sz w:val="24"/>
            <w:szCs w:val="24"/>
          </w:rPr>
          <w:id w:val="-555465900"/>
          <w:placeholder>
            <w:docPart w:val="AC8F1BAF85FDE74FABCEB2EE28750985"/>
          </w:placeholder>
        </w:sdtPr>
        <w:sdtEndPr/>
        <w:sdtContent>
          <w:r w:rsidR="00AD4D91" w:rsidRPr="00A60A28">
            <w:rPr>
              <w:rFonts w:ascii="Times New Roman" w:hAnsi="Times New Roman" w:cs="Times New Roman"/>
              <w:sz w:val="24"/>
              <w:szCs w:val="24"/>
            </w:rPr>
            <w:t xml:space="preserve">New York Statewide data suggest that although laparoscopic cholecystectomy is safe in pregnancy, delay of cholecystectomy should be discussed in the third trimester due to an increased risk for preterm delivery. </w:t>
          </w:r>
        </w:sdtContent>
      </w:sdt>
    </w:p>
    <w:p w14:paraId="4CF9F733" w14:textId="77777777" w:rsidR="003B10CC" w:rsidRPr="00A60A28" w:rsidRDefault="003B10CC" w:rsidP="00A60A28">
      <w:pPr>
        <w:spacing w:after="0"/>
        <w:rPr>
          <w:rFonts w:ascii="Times New Roman" w:hAnsi="Times New Roman" w:cs="Times New Roman"/>
        </w:rPr>
      </w:pPr>
    </w:p>
    <w:p w14:paraId="41B6331F" w14:textId="2D23DC73" w:rsidR="003B10CC" w:rsidRPr="00A60A28" w:rsidRDefault="003B10CC" w:rsidP="00A60A28">
      <w:pPr>
        <w:spacing w:after="0"/>
        <w:rPr>
          <w:rFonts w:ascii="Times New Roman" w:hAnsi="Times New Roman" w:cs="Times New Roman"/>
          <w:sz w:val="24"/>
          <w:szCs w:val="24"/>
        </w:rPr>
      </w:pPr>
      <w:r w:rsidRPr="00A60A28">
        <w:rPr>
          <w:rFonts w:ascii="Times New Roman" w:hAnsi="Times New Roman" w:cs="Times New Roman"/>
          <w:b/>
          <w:sz w:val="24"/>
          <w:szCs w:val="24"/>
        </w:rPr>
        <w:t>CONTENT CATEGORY:</w:t>
      </w:r>
      <w:r w:rsidRPr="00A60A28">
        <w:rPr>
          <w:rFonts w:ascii="Times New Roman" w:hAnsi="Times New Roman" w:cs="Times New Roman"/>
          <w:sz w:val="24"/>
          <w:szCs w:val="24"/>
        </w:rPr>
        <w:t xml:space="preserve"> </w:t>
      </w:r>
      <w:sdt>
        <w:sdtPr>
          <w:rPr>
            <w:rFonts w:ascii="Times New Roman" w:hAnsi="Times New Roman" w:cs="Times New Roman"/>
            <w:sz w:val="24"/>
            <w:szCs w:val="24"/>
          </w:rPr>
          <w:id w:val="1983805169"/>
          <w:placeholder>
            <w:docPart w:val="071BC142C0A72743BB6F48ECF0CE5E43"/>
          </w:placeholder>
        </w:sdtPr>
        <w:sdtEndPr/>
        <w:sdtContent>
          <w:r w:rsidR="00592396" w:rsidRPr="00A60A28">
            <w:rPr>
              <w:rFonts w:ascii="Times New Roman" w:hAnsi="Times New Roman" w:cs="Times New Roman"/>
              <w:sz w:val="24"/>
              <w:szCs w:val="24"/>
            </w:rPr>
            <w:t>R</w:t>
          </w:r>
          <w:r w:rsidR="00AD4D91" w:rsidRPr="00A60A28">
            <w:rPr>
              <w:rFonts w:ascii="Times New Roman" w:hAnsi="Times New Roman" w:cs="Times New Roman"/>
              <w:sz w:val="24"/>
              <w:szCs w:val="24"/>
            </w:rPr>
            <w:t>etrospective cohort</w:t>
          </w:r>
          <w:r w:rsidR="00592396" w:rsidRPr="00A60A28">
            <w:rPr>
              <w:rFonts w:ascii="Times New Roman" w:hAnsi="Times New Roman" w:cs="Times New Roman"/>
              <w:sz w:val="24"/>
              <w:szCs w:val="24"/>
            </w:rPr>
            <w:t>, clinical epidemiology</w:t>
          </w:r>
        </w:sdtContent>
      </w:sdt>
      <w:r w:rsidRPr="00A60A28">
        <w:rPr>
          <w:rFonts w:ascii="Times New Roman" w:hAnsi="Times New Roman" w:cs="Times New Roman"/>
          <w:sz w:val="24"/>
          <w:szCs w:val="24"/>
        </w:rPr>
        <w:t xml:space="preserve"> </w:t>
      </w:r>
    </w:p>
    <w:p w14:paraId="024C0459" w14:textId="77777777" w:rsidR="00A60A28" w:rsidRPr="00A60A28" w:rsidRDefault="00A60A28" w:rsidP="00A60A28">
      <w:pPr>
        <w:spacing w:after="0"/>
        <w:rPr>
          <w:rFonts w:ascii="Times New Roman" w:hAnsi="Times New Roman" w:cs="Times New Roman"/>
          <w:b/>
          <w:bCs/>
          <w:sz w:val="18"/>
          <w:szCs w:val="18"/>
        </w:rPr>
      </w:pPr>
    </w:p>
    <w:p w14:paraId="3A52F17A" w14:textId="394F73C5" w:rsidR="003B10CC" w:rsidRPr="00383E3C" w:rsidRDefault="003B10CC" w:rsidP="00A60A28">
      <w:pPr>
        <w:spacing w:after="0"/>
        <w:rPr>
          <w:rFonts w:ascii="Times New Roman" w:hAnsi="Times New Roman" w:cs="Times New Roman"/>
          <w:i/>
          <w:iCs/>
          <w:sz w:val="24"/>
          <w:szCs w:val="24"/>
        </w:rPr>
      </w:pPr>
      <w:r w:rsidRPr="00A60A28">
        <w:rPr>
          <w:rFonts w:ascii="Times New Roman" w:hAnsi="Times New Roman" w:cs="Times New Roman"/>
          <w:b/>
          <w:bCs/>
          <w:sz w:val="24"/>
          <w:szCs w:val="24"/>
        </w:rPr>
        <w:t>KEYWORDS:</w:t>
      </w:r>
      <w:r w:rsidRPr="00A60A28">
        <w:rPr>
          <w:rFonts w:ascii="Times New Roman" w:hAnsi="Times New Roman" w:cs="Times New Roman"/>
          <w:sz w:val="24"/>
          <w:szCs w:val="24"/>
        </w:rPr>
        <w:t xml:space="preserve"> </w:t>
      </w:r>
      <w:sdt>
        <w:sdtPr>
          <w:rPr>
            <w:rFonts w:ascii="Times New Roman" w:hAnsi="Times New Roman" w:cs="Times New Roman"/>
            <w:i/>
            <w:iCs/>
            <w:sz w:val="24"/>
            <w:szCs w:val="24"/>
          </w:rPr>
          <w:id w:val="-611516970"/>
          <w:placeholder>
            <w:docPart w:val="2C9679D56AB7B54D872B8B038DB7CC8E"/>
          </w:placeholder>
        </w:sdtPr>
        <w:sdtEndPr/>
        <w:sdtContent>
          <w:r w:rsidR="00AD4D91" w:rsidRPr="00383E3C">
            <w:rPr>
              <w:rFonts w:ascii="Times New Roman" w:hAnsi="Times New Roman" w:cs="Times New Roman"/>
              <w:i/>
              <w:iCs/>
              <w:sz w:val="24"/>
              <w:szCs w:val="24"/>
            </w:rPr>
            <w:t>Biliary</w:t>
          </w:r>
          <w:r w:rsidR="00592396" w:rsidRPr="00383E3C">
            <w:rPr>
              <w:rFonts w:ascii="Times New Roman" w:hAnsi="Times New Roman" w:cs="Times New Roman"/>
              <w:i/>
              <w:iCs/>
              <w:sz w:val="24"/>
              <w:szCs w:val="24"/>
            </w:rPr>
            <w:t xml:space="preserve"> disease</w:t>
          </w:r>
          <w:r w:rsidR="00AD4D91" w:rsidRPr="00383E3C">
            <w:rPr>
              <w:rFonts w:ascii="Times New Roman" w:hAnsi="Times New Roman" w:cs="Times New Roman"/>
              <w:i/>
              <w:iCs/>
              <w:sz w:val="24"/>
              <w:szCs w:val="24"/>
            </w:rPr>
            <w:t xml:space="preserve">, </w:t>
          </w:r>
          <w:r w:rsidR="00592396" w:rsidRPr="00383E3C">
            <w:rPr>
              <w:rFonts w:ascii="Times New Roman" w:hAnsi="Times New Roman" w:cs="Times New Roman"/>
              <w:i/>
              <w:iCs/>
              <w:sz w:val="24"/>
              <w:szCs w:val="24"/>
            </w:rPr>
            <w:t xml:space="preserve">cholecystectomy, </w:t>
          </w:r>
          <w:r w:rsidR="00AD4D91" w:rsidRPr="00383E3C">
            <w:rPr>
              <w:rFonts w:ascii="Times New Roman" w:hAnsi="Times New Roman" w:cs="Times New Roman"/>
              <w:i/>
              <w:iCs/>
              <w:sz w:val="24"/>
              <w:szCs w:val="24"/>
            </w:rPr>
            <w:t>pregnancy, laparoscopy</w:t>
          </w:r>
        </w:sdtContent>
      </w:sdt>
    </w:p>
    <w:sectPr w:rsidR="003B10CC" w:rsidRPr="00383E3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93C41" w14:textId="77777777" w:rsidR="006324BD" w:rsidRDefault="006324BD" w:rsidP="00A60A28">
      <w:pPr>
        <w:spacing w:after="0" w:line="240" w:lineRule="auto"/>
      </w:pPr>
      <w:r>
        <w:separator/>
      </w:r>
    </w:p>
  </w:endnote>
  <w:endnote w:type="continuationSeparator" w:id="0">
    <w:p w14:paraId="7971A33D" w14:textId="77777777" w:rsidR="006324BD" w:rsidRDefault="006324BD" w:rsidP="00A60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9E923" w14:textId="77777777" w:rsidR="006324BD" w:rsidRDefault="006324BD" w:rsidP="00A60A28">
      <w:pPr>
        <w:spacing w:after="0" w:line="240" w:lineRule="auto"/>
      </w:pPr>
      <w:r>
        <w:separator/>
      </w:r>
    </w:p>
  </w:footnote>
  <w:footnote w:type="continuationSeparator" w:id="0">
    <w:p w14:paraId="1E15194F" w14:textId="77777777" w:rsidR="006324BD" w:rsidRDefault="006324BD" w:rsidP="00A60A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389AB" w14:textId="77777777" w:rsidR="00A60A28" w:rsidRDefault="00A60A28" w:rsidP="00A60A28">
    <w:pPr>
      <w:pStyle w:val="Header"/>
      <w:ind w:right="120"/>
      <w:jc w:val="right"/>
      <w:rPr>
        <w:rFonts w:ascii="Times New Roman" w:hAnsi="Times New Roman" w:cs="Times New Roman"/>
        <w:b/>
        <w:bCs/>
        <w:color w:val="0066CC"/>
        <w:sz w:val="24"/>
        <w:szCs w:val="24"/>
      </w:rPr>
    </w:pPr>
    <w:r>
      <w:rPr>
        <w:rFonts w:ascii="Times New Roman" w:hAnsi="Times New Roman" w:cs="Times New Roman"/>
        <w:b/>
        <w:bCs/>
        <w:color w:val="0066CC"/>
        <w:sz w:val="24"/>
        <w:szCs w:val="24"/>
      </w:rPr>
      <w:t>POSTER PRESENTER</w:t>
    </w:r>
  </w:p>
  <w:p w14:paraId="2086C51F" w14:textId="69C974B8" w:rsidR="00A60A28" w:rsidRDefault="00A60A28" w:rsidP="00A60A28">
    <w:pPr>
      <w:pStyle w:val="Header"/>
      <w:ind w:right="120"/>
      <w:jc w:val="right"/>
      <w:rPr>
        <w:rFonts w:ascii="Times New Roman" w:hAnsi="Times New Roman" w:cs="Times New Roman"/>
        <w:b/>
        <w:bCs/>
        <w:color w:val="0066CC"/>
        <w:sz w:val="24"/>
        <w:szCs w:val="24"/>
      </w:rPr>
    </w:pPr>
    <w:r>
      <w:rPr>
        <w:rFonts w:ascii="Times New Roman" w:hAnsi="Times New Roman" w:cs="Times New Roman"/>
        <w:b/>
        <w:bCs/>
        <w:color w:val="0066CC"/>
        <w:sz w:val="24"/>
        <w:szCs w:val="24"/>
      </w:rPr>
      <w:t>POSTER #1</w:t>
    </w:r>
    <w:r w:rsidR="00047B3F">
      <w:rPr>
        <w:rFonts w:ascii="Times New Roman" w:hAnsi="Times New Roman" w:cs="Times New Roman"/>
        <w:b/>
        <w:bCs/>
        <w:color w:val="0066CC"/>
        <w:sz w:val="24"/>
        <w:szCs w:val="24"/>
      </w:rPr>
      <w:t>3</w:t>
    </w:r>
  </w:p>
  <w:p w14:paraId="043D014C" w14:textId="7BFE197E" w:rsidR="00A60A28" w:rsidRDefault="00D13EB3" w:rsidP="00A60A28">
    <w:pPr>
      <w:pStyle w:val="Header"/>
      <w:ind w:right="120"/>
      <w:jc w:val="right"/>
      <w:rPr>
        <w:rFonts w:ascii="Times New Roman" w:hAnsi="Times New Roman" w:cs="Times New Roman"/>
        <w:b/>
        <w:bCs/>
        <w:color w:val="0066CC"/>
        <w:sz w:val="24"/>
        <w:szCs w:val="24"/>
      </w:rPr>
    </w:pPr>
    <w:hyperlink r:id="rId1" w:history="1">
      <w:r w:rsidRPr="00D13EB3">
        <w:rPr>
          <w:rStyle w:val="Hyperlink"/>
          <w:rFonts w:ascii="Times New Roman" w:hAnsi="Times New Roman" w:cs="Times New Roman"/>
          <w:b/>
          <w:bCs/>
          <w:sz w:val="24"/>
          <w:szCs w:val="24"/>
        </w:rPr>
        <w:t>Click here to see the poster</w:t>
      </w:r>
    </w:hyperlink>
  </w:p>
  <w:p w14:paraId="2541861F" w14:textId="77777777" w:rsidR="00A60A28" w:rsidRPr="00A60A28" w:rsidRDefault="00A60A28" w:rsidP="00A60A28">
    <w:pPr>
      <w:pStyle w:val="Header"/>
      <w:ind w:right="120"/>
      <w:jc w:val="right"/>
      <w:rPr>
        <w:rFonts w:ascii="Times New Roman" w:hAnsi="Times New Roman" w:cs="Times New Roman"/>
        <w:b/>
        <w:bCs/>
        <w:color w:val="0066CC"/>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A35B52"/>
    <w:multiLevelType w:val="multilevel"/>
    <w:tmpl w:val="6964A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0CC"/>
    <w:rsid w:val="00047B3F"/>
    <w:rsid w:val="0005315E"/>
    <w:rsid w:val="000F09FF"/>
    <w:rsid w:val="00197730"/>
    <w:rsid w:val="00381CEC"/>
    <w:rsid w:val="00383E3C"/>
    <w:rsid w:val="003B10CC"/>
    <w:rsid w:val="00497961"/>
    <w:rsid w:val="00592396"/>
    <w:rsid w:val="006324BD"/>
    <w:rsid w:val="00666A88"/>
    <w:rsid w:val="007265B9"/>
    <w:rsid w:val="008C3473"/>
    <w:rsid w:val="00A60A28"/>
    <w:rsid w:val="00AD4D91"/>
    <w:rsid w:val="00D13EB3"/>
    <w:rsid w:val="00ED55F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D54BC"/>
  <w15:chartTrackingRefBased/>
  <w15:docId w15:val="{B082E388-B583-40CF-A0D9-50577278E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4D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10CC"/>
    <w:rPr>
      <w:color w:val="808080"/>
    </w:rPr>
  </w:style>
  <w:style w:type="character" w:customStyle="1" w:styleId="Heading1Char">
    <w:name w:val="Heading 1 Char"/>
    <w:basedOn w:val="DefaultParagraphFont"/>
    <w:link w:val="Heading1"/>
    <w:uiPriority w:val="9"/>
    <w:rsid w:val="00AD4D9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D4D91"/>
    <w:rPr>
      <w:color w:val="0563C1" w:themeColor="hyperlink"/>
      <w:u w:val="single"/>
    </w:rPr>
  </w:style>
  <w:style w:type="character" w:styleId="UnresolvedMention">
    <w:name w:val="Unresolved Mention"/>
    <w:basedOn w:val="DefaultParagraphFont"/>
    <w:uiPriority w:val="99"/>
    <w:semiHidden/>
    <w:unhideWhenUsed/>
    <w:rsid w:val="00AD4D91"/>
    <w:rPr>
      <w:color w:val="605E5C"/>
      <w:shd w:val="clear" w:color="auto" w:fill="E1DFDD"/>
    </w:rPr>
  </w:style>
  <w:style w:type="paragraph" w:styleId="Header">
    <w:name w:val="header"/>
    <w:basedOn w:val="Normal"/>
    <w:link w:val="HeaderChar"/>
    <w:uiPriority w:val="99"/>
    <w:unhideWhenUsed/>
    <w:rsid w:val="00A60A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A28"/>
  </w:style>
  <w:style w:type="paragraph" w:styleId="Footer">
    <w:name w:val="footer"/>
    <w:basedOn w:val="Normal"/>
    <w:link w:val="FooterChar"/>
    <w:uiPriority w:val="99"/>
    <w:unhideWhenUsed/>
    <w:rsid w:val="00A60A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742922">
      <w:bodyDiv w:val="1"/>
      <w:marLeft w:val="0"/>
      <w:marRight w:val="0"/>
      <w:marTop w:val="0"/>
      <w:marBottom w:val="0"/>
      <w:divBdr>
        <w:top w:val="none" w:sz="0" w:space="0" w:color="auto"/>
        <w:left w:val="none" w:sz="0" w:space="0" w:color="auto"/>
        <w:bottom w:val="none" w:sz="0" w:space="0" w:color="auto"/>
        <w:right w:val="none" w:sz="0" w:space="0" w:color="auto"/>
      </w:divBdr>
    </w:div>
    <w:div w:id="668292127">
      <w:bodyDiv w:val="1"/>
      <w:marLeft w:val="0"/>
      <w:marRight w:val="0"/>
      <w:marTop w:val="0"/>
      <w:marBottom w:val="0"/>
      <w:divBdr>
        <w:top w:val="none" w:sz="0" w:space="0" w:color="auto"/>
        <w:left w:val="none" w:sz="0" w:space="0" w:color="auto"/>
        <w:bottom w:val="none" w:sz="0" w:space="0" w:color="auto"/>
        <w:right w:val="none" w:sz="0" w:space="0" w:color="auto"/>
      </w:divBdr>
    </w:div>
    <w:div w:id="718092400">
      <w:bodyDiv w:val="1"/>
      <w:marLeft w:val="0"/>
      <w:marRight w:val="0"/>
      <w:marTop w:val="0"/>
      <w:marBottom w:val="0"/>
      <w:divBdr>
        <w:top w:val="none" w:sz="0" w:space="0" w:color="auto"/>
        <w:left w:val="none" w:sz="0" w:space="0" w:color="auto"/>
        <w:bottom w:val="none" w:sz="0" w:space="0" w:color="auto"/>
        <w:right w:val="none" w:sz="0" w:space="0" w:color="auto"/>
      </w:divBdr>
    </w:div>
    <w:div w:id="796263453">
      <w:bodyDiv w:val="1"/>
      <w:marLeft w:val="0"/>
      <w:marRight w:val="0"/>
      <w:marTop w:val="0"/>
      <w:marBottom w:val="0"/>
      <w:divBdr>
        <w:top w:val="none" w:sz="0" w:space="0" w:color="auto"/>
        <w:left w:val="none" w:sz="0" w:space="0" w:color="auto"/>
        <w:bottom w:val="none" w:sz="0" w:space="0" w:color="auto"/>
        <w:right w:val="none" w:sz="0" w:space="0" w:color="auto"/>
      </w:divBdr>
    </w:div>
    <w:div w:id="1309435790">
      <w:bodyDiv w:val="1"/>
      <w:marLeft w:val="0"/>
      <w:marRight w:val="0"/>
      <w:marTop w:val="0"/>
      <w:marBottom w:val="0"/>
      <w:divBdr>
        <w:top w:val="none" w:sz="0" w:space="0" w:color="auto"/>
        <w:left w:val="none" w:sz="0" w:space="0" w:color="auto"/>
        <w:bottom w:val="none" w:sz="0" w:space="0" w:color="auto"/>
        <w:right w:val="none" w:sz="0" w:space="0" w:color="auto"/>
      </w:divBdr>
    </w:div>
    <w:div w:id="1381592560">
      <w:bodyDiv w:val="1"/>
      <w:marLeft w:val="0"/>
      <w:marRight w:val="0"/>
      <w:marTop w:val="0"/>
      <w:marBottom w:val="0"/>
      <w:divBdr>
        <w:top w:val="none" w:sz="0" w:space="0" w:color="auto"/>
        <w:left w:val="none" w:sz="0" w:space="0" w:color="auto"/>
        <w:bottom w:val="none" w:sz="0" w:space="0" w:color="auto"/>
        <w:right w:val="none" w:sz="0" w:space="0" w:color="auto"/>
      </w:divBdr>
    </w:div>
    <w:div w:id="1979803504">
      <w:bodyDiv w:val="1"/>
      <w:marLeft w:val="0"/>
      <w:marRight w:val="0"/>
      <w:marTop w:val="0"/>
      <w:marBottom w:val="0"/>
      <w:divBdr>
        <w:top w:val="none" w:sz="0" w:space="0" w:color="auto"/>
        <w:left w:val="none" w:sz="0" w:space="0" w:color="auto"/>
        <w:bottom w:val="none" w:sz="0" w:space="0" w:color="auto"/>
        <w:right w:val="none" w:sz="0" w:space="0" w:color="auto"/>
      </w:divBdr>
    </w:div>
    <w:div w:id="211262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hyperlink" Target="https://cams.pathable.co/organizations/cavM6cPTCNk5TjCb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284D5A2D70A4ABC92E39DFA9448CD3D"/>
        <w:category>
          <w:name w:val="General"/>
          <w:gallery w:val="placeholder"/>
        </w:category>
        <w:types>
          <w:type w:val="bbPlcHdr"/>
        </w:types>
        <w:behaviors>
          <w:behavior w:val="content"/>
        </w:behaviors>
        <w:guid w:val="{48A84A26-B13C-4A3E-AA51-A9971DBC2D4C}"/>
      </w:docPartPr>
      <w:docPartBody>
        <w:p w:rsidR="00323286" w:rsidRDefault="00323286" w:rsidP="00323286">
          <w:pPr>
            <w:pStyle w:val="A284D5A2D70A4ABC92E39DFA9448CD3D1"/>
          </w:pPr>
          <w:r w:rsidRPr="003B10CC">
            <w:rPr>
              <w:rStyle w:val="PlaceholderText"/>
              <w:rFonts w:ascii="Times New Roman" w:hAnsi="Times New Roman" w:cs="Times New Roman"/>
              <w:b/>
              <w:bCs/>
              <w:sz w:val="24"/>
              <w:szCs w:val="24"/>
            </w:rPr>
            <w:t>ABSTRACT TITLE CLICK OR TAP HERE TO ENTER TEXT.</w:t>
          </w:r>
        </w:p>
      </w:docPartBody>
    </w:docPart>
    <w:docPart>
      <w:docPartPr>
        <w:name w:val="F7E29074F8194D7D8A5E1C0FE4E8DEBF"/>
        <w:category>
          <w:name w:val="General"/>
          <w:gallery w:val="placeholder"/>
        </w:category>
        <w:types>
          <w:type w:val="bbPlcHdr"/>
        </w:types>
        <w:behaviors>
          <w:behavior w:val="content"/>
        </w:behaviors>
        <w:guid w:val="{987F0CF7-E242-44B0-BAD2-180766635CE7}"/>
      </w:docPartPr>
      <w:docPartBody>
        <w:p w:rsidR="00323286" w:rsidRDefault="00323286" w:rsidP="00323286">
          <w:pPr>
            <w:pStyle w:val="F7E29074F8194D7D8A5E1C0FE4E8DEBF1"/>
          </w:pPr>
          <w:r>
            <w:rPr>
              <w:rStyle w:val="PlaceholderText"/>
              <w:rFonts w:ascii="Times New Roman" w:hAnsi="Times New Roman" w:cs="Times New Roman"/>
              <w:sz w:val="24"/>
              <w:szCs w:val="24"/>
            </w:rPr>
            <w:t>Name of Author(s), Affiliations, Address with Zip Code, C</w:t>
          </w:r>
          <w:r w:rsidRPr="003B10CC">
            <w:rPr>
              <w:rStyle w:val="PlaceholderText"/>
              <w:rFonts w:ascii="Times New Roman" w:hAnsi="Times New Roman" w:cs="Times New Roman"/>
              <w:sz w:val="24"/>
              <w:szCs w:val="24"/>
            </w:rPr>
            <w:t>lick or tap here to enter text.</w:t>
          </w:r>
        </w:p>
      </w:docPartBody>
    </w:docPart>
    <w:docPart>
      <w:docPartPr>
        <w:name w:val="7C9EAF9001B18941BDC036BA158715F2"/>
        <w:category>
          <w:name w:val="General"/>
          <w:gallery w:val="placeholder"/>
        </w:category>
        <w:types>
          <w:type w:val="bbPlcHdr"/>
        </w:types>
        <w:behaviors>
          <w:behavior w:val="content"/>
        </w:behaviors>
        <w:guid w:val="{E1B648D1-2AE4-C747-9D1F-4B3B22F8C71B}"/>
      </w:docPartPr>
      <w:docPartBody>
        <w:p w:rsidR="006732BF" w:rsidRDefault="00323286" w:rsidP="00323286">
          <w:pPr>
            <w:pStyle w:val="7C9EAF9001B18941BDC036BA158715F2"/>
          </w:pPr>
          <w:r w:rsidRPr="003B10CC">
            <w:rPr>
              <w:rStyle w:val="PlaceholderText"/>
              <w:rFonts w:ascii="Times New Roman" w:hAnsi="Times New Roman" w:cs="Times New Roman"/>
              <w:sz w:val="24"/>
              <w:szCs w:val="24"/>
            </w:rPr>
            <w:t>Click or tap here to enter text.</w:t>
          </w:r>
        </w:p>
      </w:docPartBody>
    </w:docPart>
    <w:docPart>
      <w:docPartPr>
        <w:name w:val="953AD67BCE6D1F4DA112EFE8F295FE73"/>
        <w:category>
          <w:name w:val="General"/>
          <w:gallery w:val="placeholder"/>
        </w:category>
        <w:types>
          <w:type w:val="bbPlcHdr"/>
        </w:types>
        <w:behaviors>
          <w:behavior w:val="content"/>
        </w:behaviors>
        <w:guid w:val="{9556C9F3-4F3C-DB4D-B2B3-0073A8230CD8}"/>
      </w:docPartPr>
      <w:docPartBody>
        <w:p w:rsidR="006732BF" w:rsidRDefault="00323286" w:rsidP="00323286">
          <w:pPr>
            <w:pStyle w:val="953AD67BCE6D1F4DA112EFE8F295FE73"/>
          </w:pPr>
          <w:r w:rsidRPr="003B10CC">
            <w:rPr>
              <w:rStyle w:val="PlaceholderText"/>
              <w:sz w:val="24"/>
              <w:szCs w:val="24"/>
            </w:rPr>
            <w:t>Click or tap here to enter text.</w:t>
          </w:r>
        </w:p>
      </w:docPartBody>
    </w:docPart>
    <w:docPart>
      <w:docPartPr>
        <w:name w:val="A5CF9B98E198CE4592F6B4497CF81780"/>
        <w:category>
          <w:name w:val="General"/>
          <w:gallery w:val="placeholder"/>
        </w:category>
        <w:types>
          <w:type w:val="bbPlcHdr"/>
        </w:types>
        <w:behaviors>
          <w:behavior w:val="content"/>
        </w:behaviors>
        <w:guid w:val="{52F3BD22-5ACE-9F46-BB6F-FFF0B85F31C3}"/>
      </w:docPartPr>
      <w:docPartBody>
        <w:p w:rsidR="006732BF" w:rsidRDefault="00323286" w:rsidP="00323286">
          <w:pPr>
            <w:pStyle w:val="A5CF9B98E198CE4592F6B4497CF81780"/>
          </w:pPr>
          <w:r w:rsidRPr="003B10CC">
            <w:rPr>
              <w:rStyle w:val="PlaceholderText"/>
              <w:rFonts w:ascii="Times New Roman" w:hAnsi="Times New Roman" w:cs="Times New Roman"/>
              <w:sz w:val="24"/>
              <w:szCs w:val="24"/>
            </w:rPr>
            <w:t>Click or tap here to enter text.</w:t>
          </w:r>
        </w:p>
      </w:docPartBody>
    </w:docPart>
    <w:docPart>
      <w:docPartPr>
        <w:name w:val="AC8F1BAF85FDE74FABCEB2EE28750985"/>
        <w:category>
          <w:name w:val="General"/>
          <w:gallery w:val="placeholder"/>
        </w:category>
        <w:types>
          <w:type w:val="bbPlcHdr"/>
        </w:types>
        <w:behaviors>
          <w:behavior w:val="content"/>
        </w:behaviors>
        <w:guid w:val="{7F61D719-9FD8-8747-B2C7-10F626A27ACD}"/>
      </w:docPartPr>
      <w:docPartBody>
        <w:p w:rsidR="006732BF" w:rsidRDefault="00323286" w:rsidP="00323286">
          <w:pPr>
            <w:pStyle w:val="AC8F1BAF85FDE74FABCEB2EE28750985"/>
          </w:pPr>
          <w:r w:rsidRPr="003B10CC">
            <w:rPr>
              <w:rStyle w:val="PlaceholderText"/>
              <w:rFonts w:ascii="Times New Roman" w:hAnsi="Times New Roman" w:cs="Times New Roman"/>
              <w:sz w:val="24"/>
              <w:szCs w:val="24"/>
            </w:rPr>
            <w:t>Click or tap here to enter text.</w:t>
          </w:r>
        </w:p>
      </w:docPartBody>
    </w:docPart>
    <w:docPart>
      <w:docPartPr>
        <w:name w:val="071BC142C0A72743BB6F48ECF0CE5E43"/>
        <w:category>
          <w:name w:val="General"/>
          <w:gallery w:val="placeholder"/>
        </w:category>
        <w:types>
          <w:type w:val="bbPlcHdr"/>
        </w:types>
        <w:behaviors>
          <w:behavior w:val="content"/>
        </w:behaviors>
        <w:guid w:val="{A1DB5F62-DF90-D549-AD3F-A6D3FAFE7827}"/>
      </w:docPartPr>
      <w:docPartBody>
        <w:p w:rsidR="006732BF" w:rsidRDefault="00323286" w:rsidP="00323286">
          <w:pPr>
            <w:pStyle w:val="071BC142C0A72743BB6F48ECF0CE5E43"/>
          </w:pPr>
          <w:r w:rsidRPr="003B10CC">
            <w:rPr>
              <w:rStyle w:val="PlaceholderText"/>
              <w:rFonts w:ascii="Times New Roman" w:hAnsi="Times New Roman" w:cs="Times New Roman"/>
              <w:sz w:val="24"/>
              <w:szCs w:val="24"/>
            </w:rPr>
            <w:t>C</w:t>
          </w:r>
          <w:r>
            <w:rPr>
              <w:rStyle w:val="PlaceholderText"/>
              <w:rFonts w:ascii="Times New Roman" w:hAnsi="Times New Roman" w:cs="Times New Roman"/>
              <w:sz w:val="24"/>
              <w:szCs w:val="24"/>
            </w:rPr>
            <w:t>ontent categories include epidemiology, clinical science (trials), patient care, basic science and transitional science. C</w:t>
          </w:r>
          <w:r w:rsidRPr="003B10CC">
            <w:rPr>
              <w:rStyle w:val="PlaceholderText"/>
              <w:rFonts w:ascii="Times New Roman" w:hAnsi="Times New Roman" w:cs="Times New Roman"/>
              <w:sz w:val="24"/>
              <w:szCs w:val="24"/>
            </w:rPr>
            <w:t>lick or tap here to enter text.</w:t>
          </w:r>
        </w:p>
      </w:docPartBody>
    </w:docPart>
    <w:docPart>
      <w:docPartPr>
        <w:name w:val="2C9679D56AB7B54D872B8B038DB7CC8E"/>
        <w:category>
          <w:name w:val="General"/>
          <w:gallery w:val="placeholder"/>
        </w:category>
        <w:types>
          <w:type w:val="bbPlcHdr"/>
        </w:types>
        <w:behaviors>
          <w:behavior w:val="content"/>
        </w:behaviors>
        <w:guid w:val="{D764BB20-CC9F-054E-A200-630BD98DE5B8}"/>
      </w:docPartPr>
      <w:docPartBody>
        <w:p w:rsidR="006732BF" w:rsidRDefault="00323286" w:rsidP="00323286">
          <w:pPr>
            <w:pStyle w:val="2C9679D56AB7B54D872B8B038DB7CC8E"/>
          </w:pPr>
          <w:r>
            <w:rPr>
              <w:rStyle w:val="PlaceholderText"/>
              <w:rFonts w:ascii="Times New Roman" w:hAnsi="Times New Roman" w:cs="Times New Roman"/>
              <w:i/>
              <w:iCs/>
              <w:sz w:val="24"/>
              <w:szCs w:val="24"/>
            </w:rPr>
            <w:t>Abstracts should include up to 5 keywords. C</w:t>
          </w:r>
          <w:r w:rsidRPr="003B10CC">
            <w:rPr>
              <w:rStyle w:val="PlaceholderText"/>
              <w:rFonts w:ascii="Times New Roman" w:hAnsi="Times New Roman" w:cs="Times New Roman"/>
              <w:i/>
              <w:iCs/>
              <w:sz w:val="24"/>
              <w:szCs w:val="24"/>
            </w:rPr>
            <w:t>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CE2"/>
    <w:rsid w:val="00323286"/>
    <w:rsid w:val="006732BF"/>
    <w:rsid w:val="006A54BC"/>
    <w:rsid w:val="007B15D7"/>
    <w:rsid w:val="00901616"/>
    <w:rsid w:val="009E0CE2"/>
    <w:rsid w:val="00F27E0C"/>
    <w:rsid w:val="00F60BA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3286"/>
    <w:rPr>
      <w:color w:val="808080"/>
    </w:rPr>
  </w:style>
  <w:style w:type="paragraph" w:customStyle="1" w:styleId="A284D5A2D70A4ABC92E39DFA9448CD3D1">
    <w:name w:val="A284D5A2D70A4ABC92E39DFA9448CD3D1"/>
    <w:rsid w:val="00323286"/>
    <w:rPr>
      <w:rFonts w:eastAsiaTheme="minorHAnsi"/>
    </w:rPr>
  </w:style>
  <w:style w:type="paragraph" w:customStyle="1" w:styleId="F7E29074F8194D7D8A5E1C0FE4E8DEBF1">
    <w:name w:val="F7E29074F8194D7D8A5E1C0FE4E8DEBF1"/>
    <w:rsid w:val="00323286"/>
    <w:rPr>
      <w:rFonts w:eastAsiaTheme="minorHAnsi"/>
    </w:rPr>
  </w:style>
  <w:style w:type="paragraph" w:customStyle="1" w:styleId="7C9EAF9001B18941BDC036BA158715F2">
    <w:name w:val="7C9EAF9001B18941BDC036BA158715F2"/>
    <w:rsid w:val="00323286"/>
    <w:rPr>
      <w:rFonts w:eastAsiaTheme="minorHAnsi"/>
    </w:rPr>
  </w:style>
  <w:style w:type="paragraph" w:customStyle="1" w:styleId="953AD67BCE6D1F4DA112EFE8F295FE73">
    <w:name w:val="953AD67BCE6D1F4DA112EFE8F295FE73"/>
    <w:rsid w:val="00323286"/>
    <w:rPr>
      <w:rFonts w:eastAsiaTheme="minorHAnsi"/>
    </w:rPr>
  </w:style>
  <w:style w:type="paragraph" w:customStyle="1" w:styleId="A5CF9B98E198CE4592F6B4497CF81780">
    <w:name w:val="A5CF9B98E198CE4592F6B4497CF81780"/>
    <w:rsid w:val="00323286"/>
    <w:rPr>
      <w:rFonts w:eastAsiaTheme="minorHAnsi"/>
    </w:rPr>
  </w:style>
  <w:style w:type="paragraph" w:customStyle="1" w:styleId="AC8F1BAF85FDE74FABCEB2EE28750985">
    <w:name w:val="AC8F1BAF85FDE74FABCEB2EE28750985"/>
    <w:rsid w:val="00323286"/>
    <w:rPr>
      <w:rFonts w:eastAsiaTheme="minorHAnsi"/>
    </w:rPr>
  </w:style>
  <w:style w:type="paragraph" w:customStyle="1" w:styleId="071BC142C0A72743BB6F48ECF0CE5E43">
    <w:name w:val="071BC142C0A72743BB6F48ECF0CE5E43"/>
    <w:rsid w:val="00323286"/>
    <w:rPr>
      <w:rFonts w:eastAsiaTheme="minorHAnsi"/>
    </w:rPr>
  </w:style>
  <w:style w:type="paragraph" w:customStyle="1" w:styleId="2C9679D56AB7B54D872B8B038DB7CC8E">
    <w:name w:val="2C9679D56AB7B54D872B8B038DB7CC8E"/>
    <w:rsid w:val="0032328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420</Words>
  <Characters>2400</Characters>
  <Application>Microsoft Office Word</Application>
  <DocSecurity>0</DocSecurity>
  <Lines>20</Lines>
  <Paragraphs>5</Paragraphs>
  <ScaleCrop>false</ScaleCrop>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 Li</cp:lastModifiedBy>
  <cp:revision>7</cp:revision>
  <cp:lastPrinted>2020-10-16T03:36:00Z</cp:lastPrinted>
  <dcterms:created xsi:type="dcterms:W3CDTF">2020-09-18T15:51:00Z</dcterms:created>
  <dcterms:modified xsi:type="dcterms:W3CDTF">2020-10-16T03:37:00Z</dcterms:modified>
</cp:coreProperties>
</file>