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36455" w14:textId="77777777" w:rsidR="005C1CAA" w:rsidRPr="00536E11" w:rsidRDefault="005C1CAA" w:rsidP="00B27713">
      <w:pPr>
        <w:spacing w:after="0" w:line="240" w:lineRule="auto"/>
        <w:jc w:val="both"/>
        <w:rPr>
          <w:rFonts w:ascii="Times New Roman" w:eastAsia="Times New Roman" w:hAnsi="Times New Roman" w:cs="Times New Roman"/>
          <w:b/>
          <w:bCs/>
          <w:sz w:val="24"/>
          <w:szCs w:val="24"/>
        </w:rPr>
      </w:pPr>
      <w:r w:rsidRPr="00536E11">
        <w:rPr>
          <w:rFonts w:ascii="Times New Roman" w:eastAsia="Times New Roman" w:hAnsi="Times New Roman" w:cs="Times New Roman"/>
          <w:b/>
          <w:bCs/>
          <w:sz w:val="24"/>
          <w:szCs w:val="24"/>
          <w:shd w:val="clear" w:color="auto" w:fill="FFFFFF"/>
        </w:rPr>
        <w:t>ABDOMINAL TUBERCULOSIS IN PATIENT PRESENTING WITH GASTRIC MASS</w:t>
      </w:r>
    </w:p>
    <w:p w14:paraId="7B23501E" w14:textId="77777777" w:rsidR="00B27713" w:rsidRDefault="00B27713" w:rsidP="00B27713">
      <w:pPr>
        <w:spacing w:after="0" w:line="240" w:lineRule="auto"/>
        <w:jc w:val="center"/>
        <w:rPr>
          <w:rFonts w:ascii="Times New Roman" w:eastAsia="Times New Roman" w:hAnsi="Times New Roman" w:cs="Times New Roman"/>
          <w:sz w:val="24"/>
          <w:szCs w:val="24"/>
          <w:shd w:val="clear" w:color="auto" w:fill="FFFFFF"/>
        </w:rPr>
      </w:pPr>
    </w:p>
    <w:p w14:paraId="7D3CE46C" w14:textId="4BAE5C9A" w:rsidR="005C1CAA" w:rsidRPr="00347928" w:rsidRDefault="005C1CAA" w:rsidP="00B27713">
      <w:pPr>
        <w:spacing w:after="0" w:line="240" w:lineRule="auto"/>
        <w:jc w:val="center"/>
        <w:rPr>
          <w:rFonts w:ascii="Times New Roman" w:eastAsia="Times New Roman" w:hAnsi="Times New Roman" w:cs="Times New Roman"/>
          <w:sz w:val="24"/>
          <w:szCs w:val="24"/>
          <w:shd w:val="clear" w:color="auto" w:fill="FFFFFF"/>
        </w:rPr>
      </w:pPr>
      <w:proofErr w:type="spellStart"/>
      <w:r w:rsidRPr="002C1343">
        <w:rPr>
          <w:rFonts w:ascii="Times New Roman" w:eastAsia="Times New Roman" w:hAnsi="Times New Roman" w:cs="Times New Roman"/>
          <w:sz w:val="24"/>
          <w:szCs w:val="24"/>
          <w:shd w:val="clear" w:color="auto" w:fill="FFFFFF"/>
        </w:rPr>
        <w:t>Myat</w:t>
      </w:r>
      <w:proofErr w:type="spellEnd"/>
      <w:r w:rsidRPr="002C1343">
        <w:rPr>
          <w:rFonts w:ascii="Times New Roman" w:eastAsia="Times New Roman" w:hAnsi="Times New Roman" w:cs="Times New Roman"/>
          <w:sz w:val="24"/>
          <w:szCs w:val="24"/>
          <w:shd w:val="clear" w:color="auto" w:fill="FFFFFF"/>
        </w:rPr>
        <w:t xml:space="preserve"> Kyaw Ko, MD</w:t>
      </w:r>
      <w:r>
        <w:rPr>
          <w:rFonts w:ascii="Times New Roman" w:eastAsia="Times New Roman" w:hAnsi="Times New Roman" w:cs="Times New Roman"/>
          <w:sz w:val="24"/>
          <w:szCs w:val="24"/>
          <w:shd w:val="clear" w:color="auto" w:fill="FFFFFF"/>
          <w:vertAlign w:val="superscript"/>
        </w:rPr>
        <w:t>2</w:t>
      </w:r>
      <w:r w:rsidRPr="002C1343">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Cho </w:t>
      </w:r>
      <w:proofErr w:type="spellStart"/>
      <w:r>
        <w:rPr>
          <w:rFonts w:ascii="Times New Roman" w:eastAsia="Times New Roman" w:hAnsi="Times New Roman" w:cs="Times New Roman"/>
          <w:sz w:val="24"/>
          <w:szCs w:val="24"/>
          <w:shd w:val="clear" w:color="auto" w:fill="FFFFFF"/>
        </w:rPr>
        <w:t>Thet</w:t>
      </w:r>
      <w:proofErr w:type="spellEnd"/>
      <w:r>
        <w:rPr>
          <w:rFonts w:ascii="Times New Roman" w:eastAsia="Times New Roman" w:hAnsi="Times New Roman" w:cs="Times New Roman"/>
          <w:sz w:val="24"/>
          <w:szCs w:val="24"/>
          <w:shd w:val="clear" w:color="auto" w:fill="FFFFFF"/>
        </w:rPr>
        <w:t xml:space="preserve"> Zin, MD</w:t>
      </w:r>
      <w:r>
        <w:rPr>
          <w:rFonts w:ascii="Times New Roman" w:eastAsia="Times New Roman" w:hAnsi="Times New Roman" w:cs="Times New Roman"/>
          <w:sz w:val="24"/>
          <w:szCs w:val="24"/>
          <w:shd w:val="clear" w:color="auto" w:fill="FFFFFF"/>
          <w:vertAlign w:val="superscript"/>
        </w:rPr>
        <w:t>2</w:t>
      </w:r>
      <w:r>
        <w:rPr>
          <w:rFonts w:ascii="Times New Roman" w:eastAsia="Times New Roman" w:hAnsi="Times New Roman" w:cs="Times New Roman"/>
          <w:sz w:val="24"/>
          <w:szCs w:val="24"/>
          <w:shd w:val="clear" w:color="auto" w:fill="FFFFFF"/>
        </w:rPr>
        <w:t xml:space="preserve">, May Hnin </w:t>
      </w:r>
      <w:proofErr w:type="spellStart"/>
      <w:r>
        <w:rPr>
          <w:rFonts w:ascii="Times New Roman" w:eastAsia="Times New Roman" w:hAnsi="Times New Roman" w:cs="Times New Roman"/>
          <w:sz w:val="24"/>
          <w:szCs w:val="24"/>
          <w:shd w:val="clear" w:color="auto" w:fill="FFFFFF"/>
        </w:rPr>
        <w:t>Pwint</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Soe</w:t>
      </w:r>
      <w:proofErr w:type="spellEnd"/>
      <w:r>
        <w:rPr>
          <w:rFonts w:ascii="Times New Roman" w:eastAsia="Times New Roman" w:hAnsi="Times New Roman" w:cs="Times New Roman"/>
          <w:sz w:val="24"/>
          <w:szCs w:val="24"/>
          <w:shd w:val="clear" w:color="auto" w:fill="FFFFFF"/>
        </w:rPr>
        <w:t>, MD</w:t>
      </w:r>
      <w:r>
        <w:rPr>
          <w:rFonts w:ascii="Times New Roman" w:eastAsia="Times New Roman" w:hAnsi="Times New Roman" w:cs="Times New Roman"/>
          <w:sz w:val="24"/>
          <w:szCs w:val="24"/>
          <w:shd w:val="clear" w:color="auto" w:fill="FFFFFF"/>
          <w:vertAlign w:val="superscript"/>
        </w:rPr>
        <w:t>2</w:t>
      </w:r>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Yone</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Mee</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Mee</w:t>
      </w:r>
      <w:proofErr w:type="spellEnd"/>
      <w:r>
        <w:rPr>
          <w:rFonts w:ascii="Times New Roman" w:eastAsia="Times New Roman" w:hAnsi="Times New Roman" w:cs="Times New Roman"/>
          <w:sz w:val="24"/>
          <w:szCs w:val="24"/>
          <w:shd w:val="clear" w:color="auto" w:fill="FFFFFF"/>
        </w:rPr>
        <w:t xml:space="preserve"> Lwin, MD</w:t>
      </w:r>
      <w:r>
        <w:rPr>
          <w:rFonts w:ascii="Times New Roman" w:eastAsia="Times New Roman" w:hAnsi="Times New Roman" w:cs="Times New Roman"/>
          <w:sz w:val="24"/>
          <w:szCs w:val="24"/>
          <w:shd w:val="clear" w:color="auto" w:fill="FFFFFF"/>
          <w:vertAlign w:val="superscript"/>
        </w:rPr>
        <w:t>2</w:t>
      </w:r>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Ngu</w:t>
      </w:r>
      <w:proofErr w:type="spellEnd"/>
      <w:r>
        <w:rPr>
          <w:rFonts w:ascii="Times New Roman" w:eastAsia="Times New Roman" w:hAnsi="Times New Roman" w:cs="Times New Roman"/>
          <w:sz w:val="24"/>
          <w:szCs w:val="24"/>
          <w:shd w:val="clear" w:color="auto" w:fill="FFFFFF"/>
        </w:rPr>
        <w:t xml:space="preserve"> War San, MD</w:t>
      </w:r>
      <w:r>
        <w:rPr>
          <w:rFonts w:ascii="Times New Roman" w:eastAsia="Times New Roman" w:hAnsi="Times New Roman" w:cs="Times New Roman"/>
          <w:sz w:val="24"/>
          <w:szCs w:val="24"/>
          <w:shd w:val="clear" w:color="auto" w:fill="FFFFFF"/>
          <w:vertAlign w:val="superscript"/>
        </w:rPr>
        <w:t>2</w:t>
      </w:r>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Zeyar</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Thet</w:t>
      </w:r>
      <w:proofErr w:type="spellEnd"/>
      <w:r>
        <w:rPr>
          <w:rFonts w:ascii="Times New Roman" w:eastAsia="Times New Roman" w:hAnsi="Times New Roman" w:cs="Times New Roman"/>
          <w:sz w:val="24"/>
          <w:szCs w:val="24"/>
          <w:shd w:val="clear" w:color="auto" w:fill="FFFFFF"/>
        </w:rPr>
        <w:t>, MD</w:t>
      </w:r>
      <w:r>
        <w:rPr>
          <w:rFonts w:ascii="Times New Roman" w:eastAsia="Times New Roman" w:hAnsi="Times New Roman" w:cs="Times New Roman"/>
          <w:sz w:val="24"/>
          <w:szCs w:val="24"/>
          <w:shd w:val="clear" w:color="auto" w:fill="FFFFFF"/>
          <w:vertAlign w:val="superscript"/>
        </w:rPr>
        <w:t>1,2</w:t>
      </w: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br/>
      </w:r>
      <w:r>
        <w:rPr>
          <w:rFonts w:ascii="Times New Roman" w:eastAsia="Times New Roman" w:hAnsi="Times New Roman" w:cs="Times New Roman"/>
          <w:sz w:val="24"/>
          <w:szCs w:val="24"/>
          <w:shd w:val="clear" w:color="auto" w:fill="FFFFFF"/>
          <w:vertAlign w:val="superscript"/>
        </w:rPr>
        <w:t>1</w:t>
      </w:r>
      <w:r>
        <w:rPr>
          <w:rFonts w:ascii="Times New Roman" w:eastAsia="Times New Roman" w:hAnsi="Times New Roman" w:cs="Times New Roman"/>
          <w:sz w:val="24"/>
          <w:szCs w:val="24"/>
          <w:shd w:val="clear" w:color="auto" w:fill="FFFFFF"/>
        </w:rPr>
        <w:t xml:space="preserve">Associate Program Director, Department of Medicine, </w:t>
      </w:r>
      <w:r w:rsidRPr="00A314D7">
        <w:rPr>
          <w:rFonts w:ascii="Times New Roman" w:eastAsia="Times New Roman" w:hAnsi="Times New Roman" w:cs="Times New Roman"/>
          <w:sz w:val="24"/>
          <w:szCs w:val="24"/>
          <w:shd w:val="clear" w:color="auto" w:fill="FFFFFF"/>
        </w:rPr>
        <w:t>Coney Island</w:t>
      </w:r>
      <w:r>
        <w:rPr>
          <w:rFonts w:ascii="Times New Roman" w:eastAsia="Times New Roman" w:hAnsi="Times New Roman" w:cs="Times New Roman"/>
          <w:sz w:val="24"/>
          <w:szCs w:val="24"/>
          <w:shd w:val="clear" w:color="auto" w:fill="FFFFFF"/>
        </w:rPr>
        <w:t xml:space="preserve"> Hospital, Brooklyn, NY 11235</w:t>
      </w:r>
      <w:r>
        <w:rPr>
          <w:rFonts w:ascii="Times New Roman" w:eastAsia="Times New Roman" w:hAnsi="Times New Roman" w:cs="Times New Roman"/>
          <w:sz w:val="24"/>
          <w:szCs w:val="24"/>
          <w:shd w:val="clear" w:color="auto" w:fill="FFFFFF"/>
        </w:rPr>
        <w:br/>
      </w:r>
      <w:r>
        <w:rPr>
          <w:rFonts w:ascii="Times New Roman" w:eastAsia="Times New Roman" w:hAnsi="Times New Roman" w:cs="Times New Roman"/>
          <w:sz w:val="24"/>
          <w:szCs w:val="24"/>
          <w:shd w:val="clear" w:color="auto" w:fill="FFFFFF"/>
          <w:vertAlign w:val="superscript"/>
        </w:rPr>
        <w:t>2</w:t>
      </w:r>
      <w:r>
        <w:rPr>
          <w:rFonts w:ascii="Times New Roman" w:eastAsia="Times New Roman" w:hAnsi="Times New Roman" w:cs="Times New Roman"/>
          <w:sz w:val="24"/>
          <w:szCs w:val="24"/>
          <w:shd w:val="clear" w:color="auto" w:fill="FFFFFF"/>
        </w:rPr>
        <w:t>Kings County Infectious Disease PC, 133-24 Sanford Ave #1K, Flushing, NY 11355</w:t>
      </w:r>
    </w:p>
    <w:p w14:paraId="765B14DE" w14:textId="77777777" w:rsidR="00B27713" w:rsidRDefault="00B27713" w:rsidP="00B27713">
      <w:pPr>
        <w:spacing w:after="0" w:line="240" w:lineRule="auto"/>
        <w:rPr>
          <w:rFonts w:ascii="Times New Roman" w:eastAsia="Times New Roman" w:hAnsi="Times New Roman" w:cs="Times New Roman"/>
          <w:b/>
          <w:bCs/>
          <w:sz w:val="24"/>
          <w:szCs w:val="24"/>
          <w:shd w:val="clear" w:color="auto" w:fill="FFFFFF"/>
        </w:rPr>
      </w:pPr>
    </w:p>
    <w:p w14:paraId="2C1FF0AE" w14:textId="621751CA" w:rsidR="005C1CAA" w:rsidRPr="00B27713" w:rsidRDefault="005C1CAA" w:rsidP="00B27713">
      <w:pPr>
        <w:spacing w:after="0" w:line="240" w:lineRule="auto"/>
        <w:rPr>
          <w:rFonts w:ascii="Times New Roman" w:eastAsia="Times New Roman" w:hAnsi="Times New Roman" w:cs="Times New Roman"/>
          <w:b/>
          <w:bCs/>
          <w:sz w:val="24"/>
          <w:szCs w:val="24"/>
        </w:rPr>
      </w:pPr>
      <w:r w:rsidRPr="00536E11">
        <w:rPr>
          <w:rFonts w:ascii="Times New Roman" w:eastAsia="Times New Roman" w:hAnsi="Times New Roman" w:cs="Times New Roman"/>
          <w:b/>
          <w:bCs/>
          <w:sz w:val="24"/>
          <w:szCs w:val="24"/>
          <w:shd w:val="clear" w:color="auto" w:fill="FFFFFF"/>
        </w:rPr>
        <w:t>INTRODUCTION</w:t>
      </w:r>
      <w:r w:rsidR="00B27713">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shd w:val="clear" w:color="auto" w:fill="FFFFFF"/>
        </w:rPr>
        <w:t>Gastrointestinal</w:t>
      </w:r>
      <w:r w:rsidRPr="00536E11">
        <w:rPr>
          <w:rFonts w:ascii="Times New Roman" w:eastAsia="Times New Roman" w:hAnsi="Times New Roman" w:cs="Times New Roman"/>
          <w:sz w:val="24"/>
          <w:szCs w:val="24"/>
          <w:shd w:val="clear" w:color="auto" w:fill="FFFFFF"/>
        </w:rPr>
        <w:t xml:space="preserve"> tuberculosis is a rare presentation of TB, accounting for only 3.5 percent of extrapulmonary tuberculosis in the United </w:t>
      </w:r>
      <w:r>
        <w:rPr>
          <w:rFonts w:ascii="Times New Roman" w:eastAsia="Times New Roman" w:hAnsi="Times New Roman" w:cs="Times New Roman"/>
          <w:sz w:val="24"/>
          <w:szCs w:val="24"/>
          <w:shd w:val="clear" w:color="auto" w:fill="FFFFFF"/>
        </w:rPr>
        <w:t>S</w:t>
      </w:r>
      <w:r w:rsidRPr="00536E11">
        <w:rPr>
          <w:rFonts w:ascii="Times New Roman" w:eastAsia="Times New Roman" w:hAnsi="Times New Roman" w:cs="Times New Roman"/>
          <w:sz w:val="24"/>
          <w:szCs w:val="24"/>
          <w:shd w:val="clear" w:color="auto" w:fill="FFFFFF"/>
        </w:rPr>
        <w:t>tates.</w:t>
      </w:r>
      <w:r w:rsidRPr="00536E11">
        <w:rPr>
          <w:rFonts w:ascii="Times New Roman" w:eastAsia="Times New Roman" w:hAnsi="Times New Roman" w:cs="Times New Roman"/>
          <w:sz w:val="24"/>
          <w:szCs w:val="24"/>
          <w:shd w:val="clear" w:color="auto" w:fill="FFFFFF"/>
          <w:vertAlign w:val="superscript"/>
        </w:rPr>
        <w:t>1</w:t>
      </w:r>
      <w:r w:rsidRPr="00536E11">
        <w:rPr>
          <w:rFonts w:ascii="Times New Roman" w:eastAsia="Times New Roman" w:hAnsi="Times New Roman" w:cs="Times New Roman"/>
          <w:sz w:val="24"/>
          <w:szCs w:val="24"/>
          <w:shd w:val="clear" w:color="auto" w:fill="FFFFFF"/>
        </w:rPr>
        <w:t xml:space="preserve"> Due to low prevalence, it can be underestimated, and it is challenging to get the diagnosis. There are only a few reported cases of stomach TB and mostly found in the immigrant population</w:t>
      </w:r>
      <w:r>
        <w:rPr>
          <w:rFonts w:ascii="Times New Roman" w:eastAsia="Times New Roman" w:hAnsi="Times New Roman" w:cs="Times New Roman"/>
          <w:sz w:val="24"/>
          <w:szCs w:val="24"/>
          <w:shd w:val="clear" w:color="auto" w:fill="FFFFFF"/>
        </w:rPr>
        <w:t xml:space="preserve"> in the US.</w:t>
      </w:r>
      <w:r w:rsidRPr="00536E11">
        <w:rPr>
          <w:rFonts w:ascii="Times New Roman" w:eastAsia="Times New Roman" w:hAnsi="Times New Roman" w:cs="Times New Roman"/>
          <w:sz w:val="24"/>
          <w:szCs w:val="24"/>
          <w:shd w:val="clear" w:color="auto" w:fill="FFFFFF"/>
        </w:rPr>
        <w:t>  </w:t>
      </w:r>
    </w:p>
    <w:p w14:paraId="6E2A5E15" w14:textId="77777777" w:rsidR="00B27713" w:rsidRDefault="00B27713" w:rsidP="00B27713">
      <w:pPr>
        <w:spacing w:after="0" w:line="240" w:lineRule="auto"/>
        <w:jc w:val="both"/>
        <w:rPr>
          <w:rFonts w:ascii="Times New Roman" w:eastAsia="Times New Roman" w:hAnsi="Times New Roman" w:cs="Times New Roman"/>
          <w:b/>
          <w:bCs/>
          <w:sz w:val="24"/>
          <w:szCs w:val="24"/>
          <w:shd w:val="clear" w:color="auto" w:fill="FFFFFF"/>
        </w:rPr>
      </w:pPr>
    </w:p>
    <w:p w14:paraId="04461FB5" w14:textId="4FC88196" w:rsidR="005C1CAA" w:rsidRPr="00B27713" w:rsidRDefault="005C1CAA" w:rsidP="00B27713">
      <w:pPr>
        <w:spacing w:after="0" w:line="240" w:lineRule="auto"/>
        <w:jc w:val="both"/>
        <w:rPr>
          <w:rFonts w:ascii="Times New Roman" w:eastAsia="Times New Roman" w:hAnsi="Times New Roman" w:cs="Times New Roman"/>
          <w:b/>
          <w:bCs/>
          <w:sz w:val="24"/>
          <w:szCs w:val="24"/>
        </w:rPr>
      </w:pPr>
      <w:r w:rsidRPr="00536E11">
        <w:rPr>
          <w:rFonts w:ascii="Times New Roman" w:eastAsia="Times New Roman" w:hAnsi="Times New Roman" w:cs="Times New Roman"/>
          <w:b/>
          <w:bCs/>
          <w:sz w:val="24"/>
          <w:szCs w:val="24"/>
          <w:shd w:val="clear" w:color="auto" w:fill="FFFFFF"/>
        </w:rPr>
        <w:t>CASE DISCUSSION</w:t>
      </w:r>
      <w:r w:rsidR="00B27713">
        <w:rPr>
          <w:rFonts w:ascii="Times New Roman" w:eastAsia="Times New Roman" w:hAnsi="Times New Roman" w:cs="Times New Roman"/>
          <w:b/>
          <w:bCs/>
          <w:sz w:val="24"/>
          <w:szCs w:val="24"/>
        </w:rPr>
        <w:t xml:space="preserve">: </w:t>
      </w:r>
      <w:r w:rsidRPr="00536E11">
        <w:rPr>
          <w:rFonts w:ascii="Times New Roman" w:eastAsia="Times New Roman" w:hAnsi="Times New Roman" w:cs="Times New Roman"/>
          <w:sz w:val="24"/>
          <w:szCs w:val="24"/>
          <w:shd w:val="clear" w:color="auto" w:fill="FFFFFF"/>
        </w:rPr>
        <w:t xml:space="preserve">An 81-year-old Chinese male with no </w:t>
      </w:r>
      <w:r>
        <w:rPr>
          <w:rFonts w:ascii="Times New Roman" w:eastAsia="Times New Roman" w:hAnsi="Times New Roman" w:cs="Times New Roman"/>
          <w:sz w:val="24"/>
          <w:szCs w:val="24"/>
          <w:shd w:val="clear" w:color="auto" w:fill="FFFFFF"/>
        </w:rPr>
        <w:t>significant</w:t>
      </w:r>
      <w:r w:rsidRPr="00536E11">
        <w:rPr>
          <w:rFonts w:ascii="Times New Roman" w:eastAsia="Times New Roman" w:hAnsi="Times New Roman" w:cs="Times New Roman"/>
          <w:sz w:val="24"/>
          <w:szCs w:val="24"/>
          <w:shd w:val="clear" w:color="auto" w:fill="FFFFFF"/>
        </w:rPr>
        <w:t xml:space="preserve"> past medical history presented with </w:t>
      </w:r>
      <w:r w:rsidR="00D05998">
        <w:rPr>
          <w:rFonts w:ascii="Times New Roman" w:eastAsia="Times New Roman" w:hAnsi="Times New Roman" w:cs="Times New Roman"/>
          <w:sz w:val="24"/>
          <w:szCs w:val="24"/>
          <w:shd w:val="clear" w:color="auto" w:fill="FFFFFF"/>
        </w:rPr>
        <w:t>unexplained</w:t>
      </w:r>
      <w:r w:rsidRPr="00536E11">
        <w:rPr>
          <w:rFonts w:ascii="Times New Roman" w:eastAsia="Times New Roman" w:hAnsi="Times New Roman" w:cs="Times New Roman"/>
          <w:sz w:val="24"/>
          <w:szCs w:val="24"/>
          <w:shd w:val="clear" w:color="auto" w:fill="FFFFFF"/>
        </w:rPr>
        <w:t xml:space="preserve"> weight loss, loss of appetite and abdominal fullness. He also had a mild cough without night sweats or fever. He had no prior history of TB. On examination, he was thin with cervical lymphadenopathy. As suspicion for malignancy was high, Esophagogastroduodenoscopy (EGD) was performed and a mass was found in gastric cardia. Due to its location, endoscopic ultrasound (EUS) was done to get a biopsy, and histopathology showed necrotizing granulomas with retroperitoneal lymphadenopathy</w:t>
      </w:r>
      <w:r w:rsidR="00D05998">
        <w:rPr>
          <w:rFonts w:ascii="Times New Roman" w:eastAsia="Times New Roman" w:hAnsi="Times New Roman" w:cs="Times New Roman"/>
          <w:sz w:val="24"/>
          <w:szCs w:val="24"/>
          <w:shd w:val="clear" w:color="auto" w:fill="FFFFFF"/>
        </w:rPr>
        <w:t xml:space="preserve"> without malignant cells</w:t>
      </w:r>
      <w:r w:rsidRPr="00536E11">
        <w:rPr>
          <w:rFonts w:ascii="Times New Roman" w:eastAsia="Times New Roman" w:hAnsi="Times New Roman" w:cs="Times New Roman"/>
          <w:sz w:val="24"/>
          <w:szCs w:val="24"/>
          <w:shd w:val="clear" w:color="auto" w:fill="FFFFFF"/>
        </w:rPr>
        <w:t>, but culture was not done due to low suspicion. Cervical lymph node biopsy also showed caseating granuloma, but no AFB was seen. Whole body PET/CT showed generalized lymphadenopathy at cervical, mediastinal, and intra-abdominal with differential diagnoses of lymphoma vs TB. TB Gold test was positive with normal CT chest. Quadruple anti-tuberculosis regimen was started. On repeat EUS after 3 months of anti-TB drug, complete resolution of lymph nodes with shrinkage of mass was noted. He also regained weight and his abdominal symptoms were relieved after completion of a one-year course of anti-TB medications. </w:t>
      </w:r>
    </w:p>
    <w:p w14:paraId="3DD32078" w14:textId="77777777" w:rsidR="00B27713" w:rsidRDefault="005C1CAA" w:rsidP="00B27713">
      <w:pPr>
        <w:spacing w:after="0" w:line="240" w:lineRule="auto"/>
        <w:jc w:val="both"/>
        <w:rPr>
          <w:rFonts w:ascii="Times New Roman" w:eastAsia="Times New Roman" w:hAnsi="Times New Roman" w:cs="Times New Roman"/>
          <w:sz w:val="24"/>
          <w:szCs w:val="24"/>
          <w:shd w:val="clear" w:color="auto" w:fill="FFFFFF"/>
        </w:rPr>
      </w:pPr>
      <w:r w:rsidRPr="00536E11">
        <w:rPr>
          <w:rFonts w:ascii="Times New Roman" w:eastAsia="Times New Roman" w:hAnsi="Times New Roman" w:cs="Times New Roman"/>
          <w:sz w:val="24"/>
          <w:szCs w:val="24"/>
          <w:shd w:val="clear" w:color="auto" w:fill="FFFFFF"/>
        </w:rPr>
        <w:t> </w:t>
      </w:r>
    </w:p>
    <w:p w14:paraId="218615FB" w14:textId="0C630754" w:rsidR="005C1CAA" w:rsidRPr="00B27713" w:rsidRDefault="005C1CAA" w:rsidP="00B27713">
      <w:pPr>
        <w:spacing w:after="0" w:line="240" w:lineRule="auto"/>
        <w:jc w:val="both"/>
        <w:rPr>
          <w:rFonts w:ascii="Times New Roman" w:eastAsia="Times New Roman" w:hAnsi="Times New Roman" w:cs="Times New Roman"/>
          <w:b/>
          <w:bCs/>
          <w:sz w:val="24"/>
          <w:szCs w:val="24"/>
        </w:rPr>
      </w:pPr>
      <w:r w:rsidRPr="00536E11">
        <w:rPr>
          <w:rFonts w:ascii="Times New Roman" w:eastAsia="Times New Roman" w:hAnsi="Times New Roman" w:cs="Times New Roman"/>
          <w:b/>
          <w:bCs/>
          <w:sz w:val="24"/>
          <w:szCs w:val="24"/>
          <w:shd w:val="clear" w:color="auto" w:fill="FFFFFF"/>
        </w:rPr>
        <w:t>DISCUSSION</w:t>
      </w:r>
      <w:r w:rsidR="00B27713">
        <w:rPr>
          <w:rFonts w:ascii="Times New Roman" w:eastAsia="Times New Roman" w:hAnsi="Times New Roman" w:cs="Times New Roman"/>
          <w:b/>
          <w:bCs/>
          <w:sz w:val="24"/>
          <w:szCs w:val="24"/>
        </w:rPr>
        <w:t xml:space="preserve">: </w:t>
      </w:r>
      <w:r w:rsidRPr="00536E11">
        <w:rPr>
          <w:rFonts w:ascii="Times New Roman" w:eastAsia="Times New Roman" w:hAnsi="Times New Roman" w:cs="Times New Roman"/>
          <w:sz w:val="24"/>
          <w:szCs w:val="24"/>
          <w:shd w:val="clear" w:color="auto" w:fill="FFFFFF"/>
        </w:rPr>
        <w:t xml:space="preserve">Since TB is </w:t>
      </w:r>
      <w:r w:rsidR="00D05998">
        <w:rPr>
          <w:rFonts w:ascii="Times New Roman" w:eastAsia="Times New Roman" w:hAnsi="Times New Roman" w:cs="Times New Roman"/>
          <w:sz w:val="24"/>
          <w:szCs w:val="24"/>
          <w:shd w:val="clear" w:color="auto" w:fill="FFFFFF"/>
        </w:rPr>
        <w:t>uncommon</w:t>
      </w:r>
      <w:r w:rsidRPr="00536E11">
        <w:rPr>
          <w:rFonts w:ascii="Times New Roman" w:eastAsia="Times New Roman" w:hAnsi="Times New Roman" w:cs="Times New Roman"/>
          <w:sz w:val="24"/>
          <w:szCs w:val="24"/>
          <w:shd w:val="clear" w:color="auto" w:fill="FFFFFF"/>
        </w:rPr>
        <w:t xml:space="preserve"> in the United States, gastric tuberculosis can be easily </w:t>
      </w:r>
      <w:r w:rsidR="00D05998" w:rsidRPr="00536E11">
        <w:rPr>
          <w:rFonts w:ascii="Times New Roman" w:eastAsia="Times New Roman" w:hAnsi="Times New Roman" w:cs="Times New Roman"/>
          <w:sz w:val="24"/>
          <w:szCs w:val="24"/>
          <w:shd w:val="clear" w:color="auto" w:fill="FFFFFF"/>
        </w:rPr>
        <w:t>missed,</w:t>
      </w:r>
      <w:r w:rsidR="00D05998">
        <w:rPr>
          <w:rFonts w:ascii="Times New Roman" w:eastAsia="Times New Roman" w:hAnsi="Times New Roman" w:cs="Times New Roman"/>
          <w:sz w:val="24"/>
          <w:szCs w:val="24"/>
          <w:shd w:val="clear" w:color="auto" w:fill="FFFFFF"/>
        </w:rPr>
        <w:t xml:space="preserve"> and clinician should maintain vigilance in </w:t>
      </w:r>
      <w:r w:rsidR="00DB4394">
        <w:rPr>
          <w:rFonts w:ascii="Times New Roman" w:eastAsia="Times New Roman" w:hAnsi="Times New Roman" w:cs="Times New Roman"/>
          <w:sz w:val="24"/>
          <w:szCs w:val="24"/>
          <w:shd w:val="clear" w:color="auto" w:fill="FFFFFF"/>
        </w:rPr>
        <w:t>people at risk for TB</w:t>
      </w:r>
      <w:r w:rsidRPr="00536E11">
        <w:rPr>
          <w:rFonts w:ascii="Times New Roman" w:eastAsia="Times New Roman" w:hAnsi="Times New Roman" w:cs="Times New Roman"/>
          <w:sz w:val="24"/>
          <w:szCs w:val="24"/>
          <w:shd w:val="clear" w:color="auto" w:fill="FFFFFF"/>
        </w:rPr>
        <w:t>.  Biopsy and culture can provide accurate diagnosis of TB. This case shows that even large gastric tuberculous lesion can be cured with complete course of anti-TB medications. </w:t>
      </w:r>
    </w:p>
    <w:p w14:paraId="51BA9BD9" w14:textId="77777777" w:rsidR="00B27713" w:rsidRDefault="00B27713" w:rsidP="00B27713">
      <w:pPr>
        <w:spacing w:after="0" w:line="240" w:lineRule="auto"/>
        <w:jc w:val="both"/>
        <w:rPr>
          <w:rFonts w:ascii="Times New Roman" w:eastAsia="Times New Roman" w:hAnsi="Times New Roman" w:cs="Times New Roman"/>
          <w:b/>
          <w:bCs/>
          <w:sz w:val="24"/>
          <w:szCs w:val="24"/>
          <w:shd w:val="clear" w:color="auto" w:fill="FFFFFF"/>
        </w:rPr>
      </w:pPr>
    </w:p>
    <w:p w14:paraId="3005FEC6" w14:textId="67917176" w:rsidR="005C1CAA" w:rsidRPr="00536E11" w:rsidRDefault="005C1CAA" w:rsidP="00B27713">
      <w:pPr>
        <w:spacing w:after="0" w:line="240" w:lineRule="auto"/>
        <w:jc w:val="both"/>
        <w:rPr>
          <w:rFonts w:ascii="Times New Roman" w:eastAsia="Times New Roman" w:hAnsi="Times New Roman" w:cs="Times New Roman"/>
          <w:b/>
          <w:bCs/>
          <w:sz w:val="24"/>
          <w:szCs w:val="24"/>
        </w:rPr>
      </w:pPr>
      <w:r w:rsidRPr="00536E11">
        <w:rPr>
          <w:rFonts w:ascii="Times New Roman" w:eastAsia="Times New Roman" w:hAnsi="Times New Roman" w:cs="Times New Roman"/>
          <w:b/>
          <w:bCs/>
          <w:sz w:val="24"/>
          <w:szCs w:val="24"/>
          <w:shd w:val="clear" w:color="auto" w:fill="FFFFFF"/>
        </w:rPr>
        <w:t>REFERENCE</w:t>
      </w:r>
    </w:p>
    <w:p w14:paraId="710BBB6F" w14:textId="77777777" w:rsidR="005C1CAA" w:rsidRPr="00536E11" w:rsidRDefault="005C1CAA" w:rsidP="00B27713">
      <w:pPr>
        <w:numPr>
          <w:ilvl w:val="0"/>
          <w:numId w:val="1"/>
        </w:numPr>
        <w:spacing w:after="0" w:line="240" w:lineRule="auto"/>
        <w:textAlignment w:val="baseline"/>
        <w:rPr>
          <w:rFonts w:ascii="Times New Roman" w:eastAsia="Times New Roman" w:hAnsi="Times New Roman" w:cs="Times New Roman"/>
          <w:sz w:val="24"/>
          <w:szCs w:val="24"/>
        </w:rPr>
      </w:pPr>
      <w:r w:rsidRPr="00536E11">
        <w:rPr>
          <w:rFonts w:ascii="Times New Roman" w:eastAsia="Times New Roman" w:hAnsi="Times New Roman" w:cs="Times New Roman"/>
          <w:sz w:val="24"/>
          <w:szCs w:val="24"/>
          <w:shd w:val="clear" w:color="auto" w:fill="FFFFFF"/>
        </w:rPr>
        <w:t>Raviglione MC. Tuberculosis. In: Jameson J, Fauci AS, Kasper DL, Hauser SL, Longo DL, Loscalzo J. eds. Harrison's Principles of Internal Medicine, 20e. McGraw-Hill; Accessed September 13, 2020. https://accessmedicine.mhmedical.com/content.aspx?bookid=2129&amp;sectionid=192023354</w:t>
      </w:r>
    </w:p>
    <w:p w14:paraId="58291929" w14:textId="1EE7D7ED" w:rsidR="00834B61" w:rsidRDefault="00834B61" w:rsidP="00B27713">
      <w:pPr>
        <w:spacing w:after="0"/>
      </w:pPr>
    </w:p>
    <w:sectPr w:rsidR="00834B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A1BBF" w14:textId="77777777" w:rsidR="00614CAC" w:rsidRDefault="00614CAC" w:rsidP="00B27713">
      <w:pPr>
        <w:spacing w:after="0" w:line="240" w:lineRule="auto"/>
      </w:pPr>
      <w:r>
        <w:separator/>
      </w:r>
    </w:p>
  </w:endnote>
  <w:endnote w:type="continuationSeparator" w:id="0">
    <w:p w14:paraId="120571C9" w14:textId="77777777" w:rsidR="00614CAC" w:rsidRDefault="00614CAC" w:rsidP="00B2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07E3D" w14:textId="77777777" w:rsidR="00614CAC" w:rsidRDefault="00614CAC" w:rsidP="00B27713">
      <w:pPr>
        <w:spacing w:after="0" w:line="240" w:lineRule="auto"/>
      </w:pPr>
      <w:r>
        <w:separator/>
      </w:r>
    </w:p>
  </w:footnote>
  <w:footnote w:type="continuationSeparator" w:id="0">
    <w:p w14:paraId="3BE06821" w14:textId="77777777" w:rsidR="00614CAC" w:rsidRDefault="00614CAC" w:rsidP="00B27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E8467" w14:textId="77777777" w:rsidR="00B27713" w:rsidRDefault="00B27713" w:rsidP="00B27713">
    <w:pPr>
      <w:pStyle w:val="Header"/>
      <w:ind w:right="120"/>
      <w:jc w:val="right"/>
      <w:rPr>
        <w:rFonts w:ascii="Times New Roman" w:hAnsi="Times New Roman" w:cs="Times New Roman"/>
        <w:b/>
        <w:bCs/>
        <w:color w:val="0066CC"/>
        <w:sz w:val="24"/>
        <w:szCs w:val="24"/>
      </w:rPr>
    </w:pPr>
    <w:r>
      <w:rPr>
        <w:rFonts w:ascii="Times New Roman" w:hAnsi="Times New Roman" w:cs="Times New Roman"/>
        <w:b/>
        <w:bCs/>
        <w:color w:val="0066CC"/>
        <w:sz w:val="24"/>
        <w:szCs w:val="24"/>
      </w:rPr>
      <w:t>POSTER PRESENTER</w:t>
    </w:r>
  </w:p>
  <w:p w14:paraId="3CBD7966" w14:textId="7E66B4D0" w:rsidR="00B27713" w:rsidRDefault="00B27713" w:rsidP="00B27713">
    <w:pPr>
      <w:pStyle w:val="Header"/>
      <w:ind w:right="120"/>
      <w:jc w:val="right"/>
      <w:rPr>
        <w:rFonts w:ascii="Times New Roman" w:hAnsi="Times New Roman" w:cs="Times New Roman"/>
        <w:b/>
        <w:bCs/>
        <w:color w:val="0066CC"/>
        <w:sz w:val="24"/>
        <w:szCs w:val="24"/>
      </w:rPr>
    </w:pPr>
    <w:r>
      <w:rPr>
        <w:rFonts w:ascii="Times New Roman" w:hAnsi="Times New Roman" w:cs="Times New Roman"/>
        <w:b/>
        <w:bCs/>
        <w:color w:val="0066CC"/>
        <w:sz w:val="24"/>
        <w:szCs w:val="24"/>
      </w:rPr>
      <w:t>POSTER #1</w:t>
    </w:r>
    <w:r w:rsidR="003F0B8D">
      <w:rPr>
        <w:rFonts w:ascii="Times New Roman" w:hAnsi="Times New Roman" w:cs="Times New Roman"/>
        <w:b/>
        <w:bCs/>
        <w:color w:val="0066CC"/>
        <w:sz w:val="24"/>
        <w:szCs w:val="24"/>
      </w:rPr>
      <w:t>6</w:t>
    </w:r>
  </w:p>
  <w:p w14:paraId="3BBD7980" w14:textId="39C08105" w:rsidR="00B27713" w:rsidRDefault="003F0B8D" w:rsidP="00B27713">
    <w:pPr>
      <w:pStyle w:val="Header"/>
      <w:ind w:right="120"/>
      <w:jc w:val="right"/>
      <w:rPr>
        <w:rFonts w:ascii="Times New Roman" w:hAnsi="Times New Roman" w:cs="Times New Roman"/>
        <w:b/>
        <w:bCs/>
        <w:color w:val="0066CC"/>
        <w:sz w:val="24"/>
        <w:szCs w:val="24"/>
      </w:rPr>
    </w:pPr>
    <w:hyperlink r:id="rId1" w:history="1">
      <w:r w:rsidR="00BD0514">
        <w:rPr>
          <w:rStyle w:val="Hyperlink"/>
          <w:rFonts w:ascii="Times New Roman" w:hAnsi="Times New Roman" w:cs="Times New Roman"/>
          <w:b/>
          <w:bCs/>
          <w:sz w:val="24"/>
          <w:szCs w:val="24"/>
        </w:rPr>
        <w:t>Click here to see the poster</w:t>
      </w:r>
    </w:hyperlink>
  </w:p>
  <w:p w14:paraId="481CC33E" w14:textId="77777777" w:rsidR="00B27713" w:rsidRPr="00B27713" w:rsidRDefault="00B27713" w:rsidP="00B27713">
    <w:pPr>
      <w:pStyle w:val="Header"/>
      <w:ind w:right="120"/>
      <w:jc w:val="right"/>
      <w:rPr>
        <w:rFonts w:ascii="Times New Roman" w:hAnsi="Times New Roman" w:cs="Times New Roman"/>
        <w:b/>
        <w:bCs/>
        <w:color w:val="0066CC"/>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581B"/>
    <w:multiLevelType w:val="multilevel"/>
    <w:tmpl w:val="B6347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AA"/>
    <w:rsid w:val="002F34DB"/>
    <w:rsid w:val="003F0B8D"/>
    <w:rsid w:val="005C1CAA"/>
    <w:rsid w:val="00614CAC"/>
    <w:rsid w:val="00834B61"/>
    <w:rsid w:val="00B27713"/>
    <w:rsid w:val="00BD0514"/>
    <w:rsid w:val="00D05998"/>
    <w:rsid w:val="00DB4394"/>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119F"/>
  <w15:chartTrackingRefBased/>
  <w15:docId w15:val="{BEC5F187-A53D-4BFE-8C6D-D62A9C06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my-MM"/>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713"/>
  </w:style>
  <w:style w:type="paragraph" w:styleId="Footer">
    <w:name w:val="footer"/>
    <w:basedOn w:val="Normal"/>
    <w:link w:val="FooterChar"/>
    <w:uiPriority w:val="99"/>
    <w:unhideWhenUsed/>
    <w:rsid w:val="00B27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713"/>
  </w:style>
  <w:style w:type="character" w:styleId="Hyperlink">
    <w:name w:val="Hyperlink"/>
    <w:basedOn w:val="DefaultParagraphFont"/>
    <w:uiPriority w:val="99"/>
    <w:semiHidden/>
    <w:unhideWhenUsed/>
    <w:rsid w:val="00BD05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74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cams.pathable.co/organizations/QBp2dxhnzGiFY2J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dc:creator>
  <cp:keywords/>
  <dc:description/>
  <cp:lastModifiedBy>J Li</cp:lastModifiedBy>
  <cp:revision>5</cp:revision>
  <dcterms:created xsi:type="dcterms:W3CDTF">2020-09-16T01:47:00Z</dcterms:created>
  <dcterms:modified xsi:type="dcterms:W3CDTF">2020-10-21T22:11:00Z</dcterms:modified>
</cp:coreProperties>
</file>